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9581" w14:textId="52D1EDC3" w:rsidR="00412621" w:rsidRDefault="006031AC" w:rsidP="0091468B">
      <w:pPr>
        <w:pStyle w:val="Title"/>
        <w:spacing w:before="240"/>
        <w:rPr>
          <w:b/>
          <w:bCs/>
        </w:rPr>
      </w:pPr>
      <w:r>
        <w:rPr>
          <w:noProof/>
        </w:rPr>
        <w:drawing>
          <wp:anchor distT="0" distB="0" distL="114300" distR="114300" simplePos="0" relativeHeight="251658240" behindDoc="0" locked="0" layoutInCell="1" allowOverlap="1" wp14:anchorId="0BB4EBFC" wp14:editId="1A336FF0">
            <wp:simplePos x="0" y="0"/>
            <wp:positionH relativeFrom="page">
              <wp:posOffset>5937756</wp:posOffset>
            </wp:positionH>
            <wp:positionV relativeFrom="paragraph">
              <wp:posOffset>-652965</wp:posOffset>
            </wp:positionV>
            <wp:extent cx="1395567" cy="6553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567" cy="655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C4C" w:rsidRPr="00FC4C4C">
        <w:rPr>
          <w:b/>
          <w:bCs/>
        </w:rPr>
        <w:t>Workforce Race Equality Standard (WRES) and Workforce Disability Equality Standard (WDES)</w:t>
      </w:r>
      <w:r w:rsidR="0044388F">
        <w:rPr>
          <w:b/>
          <w:bCs/>
        </w:rPr>
        <w:t xml:space="preserve"> </w:t>
      </w:r>
    </w:p>
    <w:p w14:paraId="2196A0C7" w14:textId="77777777" w:rsidR="00A41BCF" w:rsidRPr="00A41BCF" w:rsidRDefault="00A41BCF" w:rsidP="0044388F">
      <w:pPr>
        <w:rPr>
          <w:b/>
          <w:bCs/>
          <w:sz w:val="2"/>
          <w:szCs w:val="2"/>
          <w:u w:val="single"/>
        </w:rPr>
      </w:pPr>
    </w:p>
    <w:p w14:paraId="08668CE1" w14:textId="17B1F87D" w:rsidR="0044388F" w:rsidRPr="00A41BCF" w:rsidRDefault="0044388F" w:rsidP="0044388F">
      <w:pPr>
        <w:rPr>
          <w:b/>
          <w:bCs/>
          <w:sz w:val="28"/>
          <w:szCs w:val="28"/>
          <w:u w:val="single"/>
        </w:rPr>
      </w:pPr>
      <w:r w:rsidRPr="00A41BCF">
        <w:rPr>
          <w:b/>
          <w:bCs/>
          <w:sz w:val="28"/>
          <w:szCs w:val="28"/>
          <w:u w:val="single"/>
        </w:rPr>
        <w:t>2022 - 2023</w:t>
      </w:r>
    </w:p>
    <w:p w14:paraId="6B8F3106" w14:textId="6F589B2D" w:rsidR="00FC4C4C" w:rsidRDefault="00FC4C4C"/>
    <w:p w14:paraId="1A0AFC32" w14:textId="77777777" w:rsidR="00FC4C4C" w:rsidRPr="0099700A" w:rsidRDefault="00FC4C4C" w:rsidP="00FC4C4C">
      <w:pPr>
        <w:spacing w:after="0" w:line="240" w:lineRule="auto"/>
        <w:contextualSpacing/>
        <w:rPr>
          <w:rFonts w:ascii="Arial" w:eastAsia="Times New Roman" w:hAnsi="Arial" w:cs="Arial"/>
          <w:b/>
          <w:bCs/>
          <w:spacing w:val="-10"/>
          <w:kern w:val="28"/>
        </w:rPr>
      </w:pPr>
      <w:r w:rsidRPr="0099700A">
        <w:rPr>
          <w:rFonts w:ascii="Arial" w:eastAsia="Times New Roman" w:hAnsi="Arial" w:cs="Arial"/>
          <w:b/>
          <w:bCs/>
          <w:spacing w:val="-10"/>
          <w:kern w:val="28"/>
        </w:rPr>
        <w:t xml:space="preserve">NHS Workforce Race Equality Standard </w:t>
      </w:r>
    </w:p>
    <w:p w14:paraId="3279BD6B" w14:textId="77777777" w:rsidR="00FC4C4C" w:rsidRPr="0099700A" w:rsidRDefault="00FC4C4C" w:rsidP="00FC4C4C">
      <w:pPr>
        <w:spacing w:after="0"/>
        <w:rPr>
          <w:rFonts w:ascii="Arial" w:eastAsia="Calibri" w:hAnsi="Arial" w:cs="Arial"/>
        </w:rPr>
      </w:pPr>
    </w:p>
    <w:p w14:paraId="03646EA4" w14:textId="77777777" w:rsidR="00FC4C4C" w:rsidRPr="0099700A" w:rsidRDefault="00FC4C4C" w:rsidP="00FC4C4C">
      <w:pPr>
        <w:shd w:val="clear" w:color="auto" w:fill="FFFFFF"/>
        <w:spacing w:after="0"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Implementing the Workforce Race Equality Standard (WRES) is a requirement for NHS commissioners and NHS healthcare providers including independent organisations, through the </w:t>
      </w:r>
      <w:r w:rsidRPr="0099700A">
        <w:rPr>
          <w:rFonts w:ascii="Arial" w:eastAsia="Times New Roman" w:hAnsi="Arial" w:cs="Arial"/>
          <w:color w:val="202A30"/>
          <w:bdr w:val="none" w:sz="0" w:space="0" w:color="auto" w:frame="1"/>
          <w:lang w:eastAsia="en-GB"/>
        </w:rPr>
        <w:t>NHS standard contract</w:t>
      </w:r>
      <w:r w:rsidRPr="0099700A">
        <w:rPr>
          <w:rFonts w:ascii="Arial" w:eastAsia="Times New Roman" w:hAnsi="Arial" w:cs="Arial"/>
          <w:color w:val="202A30"/>
          <w:lang w:eastAsia="en-GB"/>
        </w:rPr>
        <w:t>.</w:t>
      </w:r>
    </w:p>
    <w:p w14:paraId="3EF548F8" w14:textId="77777777" w:rsidR="00FC4C4C" w:rsidRPr="0099700A" w:rsidRDefault="00FC4C4C" w:rsidP="00FC4C4C">
      <w:pPr>
        <w:shd w:val="clear" w:color="auto" w:fill="FFFFFF"/>
        <w:spacing w:after="0" w:line="240" w:lineRule="auto"/>
        <w:textAlignment w:val="baseline"/>
        <w:rPr>
          <w:rFonts w:ascii="Arial" w:eastAsia="Times New Roman" w:hAnsi="Arial" w:cs="Arial"/>
          <w:color w:val="202A30"/>
          <w:lang w:eastAsia="en-GB"/>
        </w:rPr>
      </w:pPr>
    </w:p>
    <w:p w14:paraId="62FD1F31" w14:textId="77777777" w:rsidR="00FC4C4C" w:rsidRPr="0099700A" w:rsidRDefault="00FC4C4C" w:rsidP="00FC4C4C">
      <w:pPr>
        <w:shd w:val="clear" w:color="auto" w:fill="FFFFFF"/>
        <w:spacing w:after="0"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The </w:t>
      </w:r>
      <w:r w:rsidRPr="0099700A">
        <w:rPr>
          <w:rFonts w:ascii="Arial" w:eastAsia="Times New Roman" w:hAnsi="Arial" w:cs="Arial"/>
          <w:color w:val="202A30"/>
          <w:bdr w:val="none" w:sz="0" w:space="0" w:color="auto" w:frame="1"/>
          <w:lang w:eastAsia="en-GB"/>
        </w:rPr>
        <w:t>NHS Equality and Diversity Council</w:t>
      </w:r>
      <w:r w:rsidRPr="0099700A">
        <w:rPr>
          <w:rFonts w:ascii="Arial" w:eastAsia="Times New Roman" w:hAnsi="Arial" w:cs="Arial"/>
          <w:color w:val="202A30"/>
          <w:lang w:eastAsia="en-GB"/>
        </w:rPr>
        <w:t> announced on 31 July 2014 that it had agreed action to ensure employees from black and minority ethnic (BME) backgrounds have equal access to career opportunities and receive fair treatment in the workplace.</w:t>
      </w:r>
    </w:p>
    <w:p w14:paraId="23A2977C" w14:textId="77777777" w:rsidR="00FC4C4C" w:rsidRPr="0099700A" w:rsidRDefault="00FC4C4C" w:rsidP="00FC4C4C">
      <w:pPr>
        <w:shd w:val="clear" w:color="auto" w:fill="FFFFFF"/>
        <w:spacing w:after="0" w:line="240" w:lineRule="auto"/>
        <w:textAlignment w:val="baseline"/>
        <w:rPr>
          <w:rFonts w:ascii="Arial" w:eastAsia="Times New Roman" w:hAnsi="Arial" w:cs="Arial"/>
          <w:color w:val="202A30"/>
          <w:lang w:eastAsia="en-GB"/>
        </w:rPr>
      </w:pPr>
    </w:p>
    <w:p w14:paraId="2F9A2D1D" w14:textId="77777777" w:rsidR="00FC4C4C" w:rsidRPr="0099700A" w:rsidRDefault="00FC4C4C" w:rsidP="00FC4C4C">
      <w:pPr>
        <w:shd w:val="clear" w:color="auto" w:fill="FFFFFF"/>
        <w:spacing w:after="225"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 xml:space="preserve">This is important because studies shows that a motivated, </w:t>
      </w:r>
      <w:proofErr w:type="gramStart"/>
      <w:r w:rsidRPr="0099700A">
        <w:rPr>
          <w:rFonts w:ascii="Arial" w:eastAsia="Times New Roman" w:hAnsi="Arial" w:cs="Arial"/>
          <w:color w:val="202A30"/>
          <w:lang w:eastAsia="en-GB"/>
        </w:rPr>
        <w:t>included</w:t>
      </w:r>
      <w:proofErr w:type="gramEnd"/>
      <w:r w:rsidRPr="0099700A">
        <w:rPr>
          <w:rFonts w:ascii="Arial" w:eastAsia="Times New Roman" w:hAnsi="Arial" w:cs="Arial"/>
          <w:color w:val="202A30"/>
          <w:lang w:eastAsia="en-GB"/>
        </w:rPr>
        <w:t xml:space="preserve"> and valued workforce helps deliver high quality patient care, increased patient satisfaction and better patient safety.</w:t>
      </w:r>
    </w:p>
    <w:p w14:paraId="48C18CCC" w14:textId="77777777" w:rsidR="00FC4C4C" w:rsidRPr="0099700A" w:rsidRDefault="00FC4C4C" w:rsidP="00FC4C4C">
      <w:pPr>
        <w:shd w:val="clear" w:color="auto" w:fill="FFFFFF"/>
        <w:spacing w:after="0"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In April 2015, after engaging and consulting with key stakeholders including other NHS organisations across England, the WRES was mandated through the NHS standard contract, starting in </w:t>
      </w:r>
      <w:r w:rsidRPr="0099700A">
        <w:rPr>
          <w:rFonts w:ascii="Arial" w:eastAsia="Times New Roman" w:hAnsi="Arial" w:cs="Arial"/>
          <w:color w:val="202A30"/>
          <w:bdr w:val="none" w:sz="0" w:space="0" w:color="auto" w:frame="1"/>
          <w:lang w:eastAsia="en-GB"/>
        </w:rPr>
        <w:t>2015/16</w:t>
      </w:r>
      <w:r w:rsidRPr="0099700A">
        <w:rPr>
          <w:rFonts w:ascii="Arial" w:eastAsia="Times New Roman" w:hAnsi="Arial" w:cs="Arial"/>
          <w:color w:val="202A30"/>
          <w:lang w:eastAsia="en-GB"/>
        </w:rPr>
        <w:t>. From 2017, independent healthcare providers are required to publish their WRES data.</w:t>
      </w:r>
    </w:p>
    <w:p w14:paraId="44435117" w14:textId="77777777" w:rsidR="00FC4C4C" w:rsidRPr="0099700A" w:rsidRDefault="00FC4C4C" w:rsidP="00FC4C4C">
      <w:pPr>
        <w:shd w:val="clear" w:color="auto" w:fill="FFFFFF"/>
        <w:spacing w:after="0" w:line="240" w:lineRule="auto"/>
        <w:textAlignment w:val="baseline"/>
        <w:rPr>
          <w:rFonts w:ascii="Arial" w:eastAsia="Times New Roman" w:hAnsi="Arial" w:cs="Arial"/>
          <w:color w:val="202A30"/>
          <w:lang w:eastAsia="en-GB"/>
        </w:rPr>
      </w:pPr>
    </w:p>
    <w:p w14:paraId="658AB72B" w14:textId="77777777" w:rsidR="00FC4C4C" w:rsidRPr="0099700A" w:rsidRDefault="00FC4C4C" w:rsidP="00FC4C4C">
      <w:pPr>
        <w:shd w:val="clear" w:color="auto" w:fill="FFFFFF"/>
        <w:spacing w:after="225" w:line="240" w:lineRule="auto"/>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NHS providers are expected to show progress against a number of indicators of workforce equality, including a specific indicator to address the low numbers of BME board members across the organisation.</w:t>
      </w:r>
    </w:p>
    <w:p w14:paraId="15A1E855" w14:textId="77777777" w:rsidR="00FC4C4C" w:rsidRDefault="00FC4C4C" w:rsidP="00FC4C4C">
      <w:pPr>
        <w:shd w:val="clear" w:color="auto" w:fill="FFFFFF"/>
        <w:spacing w:after="225" w:line="240" w:lineRule="auto"/>
        <w:textAlignment w:val="baseline"/>
        <w:rPr>
          <w:rFonts w:ascii="Arial" w:eastAsia="Times New Roman" w:hAnsi="Arial" w:cs="Arial"/>
          <w:b/>
          <w:bCs/>
          <w:color w:val="202A30"/>
          <w:lang w:eastAsia="en-GB"/>
        </w:rPr>
      </w:pPr>
      <w:r w:rsidRPr="0099700A">
        <w:rPr>
          <w:rFonts w:ascii="Arial" w:eastAsia="Times New Roman" w:hAnsi="Arial" w:cs="Arial"/>
          <w:b/>
          <w:bCs/>
          <w:color w:val="202A30"/>
          <w:lang w:eastAsia="en-GB"/>
        </w:rPr>
        <w:t>Results</w:t>
      </w:r>
    </w:p>
    <w:p w14:paraId="7F5AB415" w14:textId="77777777" w:rsidR="00FC4C4C" w:rsidRPr="0099700A" w:rsidRDefault="00FC4C4C" w:rsidP="00FC4C4C">
      <w:pPr>
        <w:shd w:val="clear" w:color="auto" w:fill="FFFFFF"/>
        <w:spacing w:after="225" w:line="240" w:lineRule="auto"/>
        <w:textAlignment w:val="baseline"/>
        <w:rPr>
          <w:rFonts w:ascii="Arial" w:eastAsia="Times New Roman" w:hAnsi="Arial" w:cs="Arial"/>
          <w:color w:val="202A30"/>
          <w:lang w:eastAsia="en-GB"/>
        </w:rPr>
      </w:pPr>
      <w:r>
        <w:rPr>
          <w:rFonts w:ascii="Arial" w:eastAsia="Times New Roman" w:hAnsi="Arial" w:cs="Arial"/>
          <w:color w:val="202A30"/>
          <w:lang w:eastAsia="en-GB"/>
        </w:rPr>
        <w:t>The 2022/23 WRES data has nine indicators covering the areas outlined below:</w:t>
      </w:r>
    </w:p>
    <w:p w14:paraId="55BB741A"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WRES Indicator 1</w:t>
      </w:r>
      <w:r w:rsidRPr="0099700A">
        <w:rPr>
          <w:rFonts w:ascii="Arial" w:eastAsia="Calibri" w:hAnsi="Arial" w:cs="Arial"/>
        </w:rPr>
        <w:t xml:space="preserve"> - compare the data for white and BME staff: Percentage of staff in each of the </w:t>
      </w:r>
      <w:proofErr w:type="spellStart"/>
      <w:r w:rsidRPr="0099700A">
        <w:rPr>
          <w:rFonts w:ascii="Arial" w:eastAsia="Calibri" w:hAnsi="Arial" w:cs="Arial"/>
        </w:rPr>
        <w:t>AfC</w:t>
      </w:r>
      <w:proofErr w:type="spellEnd"/>
      <w:r w:rsidRPr="0099700A">
        <w:rPr>
          <w:rFonts w:ascii="Arial" w:eastAsia="Calibri" w:hAnsi="Arial" w:cs="Arial"/>
        </w:rPr>
        <w:t xml:space="preserve"> Bands 1-9 and VSM (including executive Board members) compared with the percentage of staff in the overall workforce.</w:t>
      </w:r>
    </w:p>
    <w:p w14:paraId="1361E7A2"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2DFFF1B1" w14:textId="77777777" w:rsidR="00FC4C4C" w:rsidRPr="0099700A" w:rsidRDefault="00FC4C4C" w:rsidP="00FC4C4C">
      <w:pPr>
        <w:pStyle w:val="ListParagraph"/>
        <w:numPr>
          <w:ilvl w:val="0"/>
          <w:numId w:val="5"/>
        </w:numPr>
        <w:autoSpaceDE w:val="0"/>
        <w:autoSpaceDN w:val="0"/>
        <w:adjustRightInd w:val="0"/>
        <w:rPr>
          <w:rFonts w:ascii="Arial" w:eastAsia="Calibri" w:hAnsi="Arial" w:cs="Arial"/>
          <w:sz w:val="22"/>
          <w:szCs w:val="22"/>
        </w:rPr>
      </w:pPr>
      <w:r w:rsidRPr="0099700A">
        <w:rPr>
          <w:rFonts w:ascii="Arial" w:eastAsia="Calibri" w:hAnsi="Arial" w:cs="Arial"/>
          <w:sz w:val="22"/>
          <w:szCs w:val="22"/>
        </w:rPr>
        <w:t xml:space="preserve">Indicator 1 shows the Trust with a 2.5% increase in Black, Asian minority, and ethnic representation at 27.5%, further detail can be seen in appendix 1-4 for </w:t>
      </w:r>
      <w:r>
        <w:rPr>
          <w:rFonts w:ascii="Arial" w:eastAsia="Calibri" w:hAnsi="Arial" w:cs="Arial"/>
          <w:sz w:val="22"/>
          <w:szCs w:val="22"/>
        </w:rPr>
        <w:t>more details of the</w:t>
      </w:r>
      <w:r w:rsidRPr="0099700A">
        <w:rPr>
          <w:rFonts w:ascii="Arial" w:eastAsia="Calibri" w:hAnsi="Arial" w:cs="Arial"/>
          <w:sz w:val="22"/>
          <w:szCs w:val="22"/>
        </w:rPr>
        <w:t xml:space="preserve"> breakdown. </w:t>
      </w:r>
    </w:p>
    <w:p w14:paraId="4EE7E3D9" w14:textId="77777777" w:rsidR="00FC4C4C" w:rsidRPr="0099700A" w:rsidRDefault="00FC4C4C" w:rsidP="00FC4C4C">
      <w:pPr>
        <w:autoSpaceDE w:val="0"/>
        <w:autoSpaceDN w:val="0"/>
        <w:adjustRightInd w:val="0"/>
        <w:spacing w:after="0" w:line="240" w:lineRule="auto"/>
        <w:rPr>
          <w:rFonts w:ascii="Arial" w:eastAsia="Calibri" w:hAnsi="Arial" w:cs="Arial"/>
          <w:b/>
          <w:bCs/>
        </w:rPr>
      </w:pPr>
    </w:p>
    <w:p w14:paraId="311CDFCA"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WRES Indicator 2</w:t>
      </w:r>
      <w:r w:rsidRPr="0099700A">
        <w:rPr>
          <w:rFonts w:ascii="Arial" w:eastAsia="Calibri" w:hAnsi="Arial" w:cs="Arial"/>
        </w:rPr>
        <w:t xml:space="preserve"> - compare the data for white and BME staff: Relative likelihood of staff being appointed from shortlisting across all posts. </w:t>
      </w:r>
      <w:r w:rsidRPr="0099700A">
        <w:rPr>
          <w:rFonts w:ascii="Arial" w:eastAsia="Calibri" w:hAnsi="Arial" w:cs="Arial"/>
          <w:i/>
          <w:iCs/>
        </w:rPr>
        <w:t>This indicator will be based on financial year end data.</w:t>
      </w:r>
    </w:p>
    <w:tbl>
      <w:tblPr>
        <w:tblStyle w:val="TableGrid1"/>
        <w:tblW w:w="9016" w:type="dxa"/>
        <w:tblLook w:val="04A0" w:firstRow="1" w:lastRow="0" w:firstColumn="1" w:lastColumn="0" w:noHBand="0" w:noVBand="1"/>
      </w:tblPr>
      <w:tblGrid>
        <w:gridCol w:w="1052"/>
        <w:gridCol w:w="1052"/>
        <w:gridCol w:w="1052"/>
        <w:gridCol w:w="1053"/>
        <w:gridCol w:w="1052"/>
        <w:gridCol w:w="1052"/>
        <w:gridCol w:w="1053"/>
        <w:gridCol w:w="1650"/>
      </w:tblGrid>
      <w:tr w:rsidR="00FC4C4C" w:rsidRPr="0099700A" w14:paraId="6FA9EE0A" w14:textId="77777777" w:rsidTr="00724B51">
        <w:tc>
          <w:tcPr>
            <w:tcW w:w="1052" w:type="dxa"/>
            <w:shd w:val="clear" w:color="auto" w:fill="EEECE1"/>
          </w:tcPr>
          <w:p w14:paraId="3BC207B3"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2017</w:t>
            </w:r>
          </w:p>
        </w:tc>
        <w:tc>
          <w:tcPr>
            <w:tcW w:w="1052" w:type="dxa"/>
            <w:shd w:val="clear" w:color="auto" w:fill="EEECE1"/>
          </w:tcPr>
          <w:p w14:paraId="1DAE242A"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1052" w:type="dxa"/>
            <w:shd w:val="clear" w:color="auto" w:fill="EEECE1"/>
          </w:tcPr>
          <w:p w14:paraId="3CAE1355"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1053" w:type="dxa"/>
            <w:shd w:val="clear" w:color="auto" w:fill="EEECE1"/>
          </w:tcPr>
          <w:p w14:paraId="7D2886EE"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052" w:type="dxa"/>
            <w:shd w:val="clear" w:color="auto" w:fill="EEECE1"/>
          </w:tcPr>
          <w:p w14:paraId="16CD5D9D"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052" w:type="dxa"/>
            <w:shd w:val="clear" w:color="auto" w:fill="EEECE1"/>
          </w:tcPr>
          <w:p w14:paraId="5F8CFAF8"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1053" w:type="dxa"/>
            <w:shd w:val="clear" w:color="auto" w:fill="EEECE1"/>
          </w:tcPr>
          <w:p w14:paraId="3E84D901"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2023</w:t>
            </w:r>
          </w:p>
        </w:tc>
        <w:tc>
          <w:tcPr>
            <w:tcW w:w="1650" w:type="dxa"/>
            <w:shd w:val="clear" w:color="auto" w:fill="EEECE1"/>
          </w:tcPr>
          <w:p w14:paraId="0985DE33"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Trend</w:t>
            </w:r>
          </w:p>
        </w:tc>
      </w:tr>
      <w:tr w:rsidR="00FC4C4C" w:rsidRPr="0099700A" w14:paraId="45D6A666" w14:textId="77777777" w:rsidTr="00724B51">
        <w:trPr>
          <w:trHeight w:val="480"/>
        </w:trPr>
        <w:tc>
          <w:tcPr>
            <w:tcW w:w="1052" w:type="dxa"/>
          </w:tcPr>
          <w:p w14:paraId="651DF994"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5.07</w:t>
            </w:r>
          </w:p>
        </w:tc>
        <w:tc>
          <w:tcPr>
            <w:tcW w:w="1052" w:type="dxa"/>
          </w:tcPr>
          <w:p w14:paraId="49FC9E06"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1.25</w:t>
            </w:r>
          </w:p>
        </w:tc>
        <w:tc>
          <w:tcPr>
            <w:tcW w:w="1052" w:type="dxa"/>
          </w:tcPr>
          <w:p w14:paraId="7B471E4C"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1.46</w:t>
            </w:r>
          </w:p>
        </w:tc>
        <w:tc>
          <w:tcPr>
            <w:tcW w:w="1053" w:type="dxa"/>
          </w:tcPr>
          <w:p w14:paraId="72624CCE"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1.34</w:t>
            </w:r>
          </w:p>
        </w:tc>
        <w:tc>
          <w:tcPr>
            <w:tcW w:w="1052" w:type="dxa"/>
          </w:tcPr>
          <w:p w14:paraId="40297D23"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0.84</w:t>
            </w:r>
          </w:p>
        </w:tc>
        <w:tc>
          <w:tcPr>
            <w:tcW w:w="1052" w:type="dxa"/>
          </w:tcPr>
          <w:p w14:paraId="12B27CC3"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1.20</w:t>
            </w:r>
          </w:p>
        </w:tc>
        <w:tc>
          <w:tcPr>
            <w:tcW w:w="1053" w:type="dxa"/>
          </w:tcPr>
          <w:p w14:paraId="6468FE88" w14:textId="77777777" w:rsidR="00FC4C4C" w:rsidRPr="0099700A" w:rsidRDefault="00FC4C4C" w:rsidP="00724B51">
            <w:pPr>
              <w:autoSpaceDE w:val="0"/>
              <w:autoSpaceDN w:val="0"/>
              <w:adjustRightInd w:val="0"/>
              <w:jc w:val="center"/>
              <w:rPr>
                <w:rFonts w:ascii="Arial" w:eastAsia="Calibri" w:hAnsi="Arial" w:cs="Arial"/>
                <w:b/>
                <w:bCs/>
                <w:color w:val="FF0000"/>
              </w:rPr>
            </w:pPr>
            <w:r w:rsidRPr="0099700A">
              <w:rPr>
                <w:rFonts w:ascii="Arial" w:eastAsia="Calibri" w:hAnsi="Arial" w:cs="Arial"/>
                <w:b/>
                <w:bCs/>
                <w:color w:val="FF0000"/>
              </w:rPr>
              <w:t>1.29</w:t>
            </w:r>
          </w:p>
        </w:tc>
        <w:tc>
          <w:tcPr>
            <w:tcW w:w="1650" w:type="dxa"/>
          </w:tcPr>
          <w:p w14:paraId="2AF9A25D"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740626C6" wp14:editId="2B0A70D8">
                  <wp:extent cx="895350" cy="2882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6547" cy="298329"/>
                          </a:xfrm>
                          <a:prstGeom prst="rect">
                            <a:avLst/>
                          </a:prstGeom>
                        </pic:spPr>
                      </pic:pic>
                    </a:graphicData>
                  </a:graphic>
                </wp:inline>
              </w:drawing>
            </w:r>
          </w:p>
        </w:tc>
      </w:tr>
    </w:tbl>
    <w:p w14:paraId="56BA5E03"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i/>
          <w:iCs/>
        </w:rPr>
        <w:lastRenderedPageBreak/>
        <w:t>(</w:t>
      </w:r>
      <w:r w:rsidRPr="0099700A">
        <w:rPr>
          <w:rFonts w:ascii="Arial" w:eastAsia="Calibri" w:hAnsi="Arial" w:cs="Arial"/>
        </w:rPr>
        <w:t>A figure below “1” would indicate that white candidates are less likely than BME candidates to be appointed from shortlisting)</w:t>
      </w:r>
      <w:r>
        <w:rPr>
          <w:rFonts w:ascii="Arial" w:eastAsia="Calibri" w:hAnsi="Arial" w:cs="Arial"/>
        </w:rPr>
        <w:t>. Therefore, a figure close to 1 is ideal.</w:t>
      </w:r>
    </w:p>
    <w:p w14:paraId="46B57374" w14:textId="77777777" w:rsidR="00FC4C4C" w:rsidRPr="00E64956" w:rsidRDefault="00FC4C4C" w:rsidP="00FC4C4C">
      <w:pPr>
        <w:autoSpaceDE w:val="0"/>
        <w:autoSpaceDN w:val="0"/>
        <w:adjustRightInd w:val="0"/>
        <w:rPr>
          <w:rFonts w:ascii="Arial" w:eastAsia="Calibri" w:hAnsi="Arial" w:cs="Arial"/>
          <w:color w:val="1F497D"/>
        </w:rPr>
      </w:pPr>
    </w:p>
    <w:p w14:paraId="3A1B053A" w14:textId="77777777" w:rsidR="00FC4C4C" w:rsidRPr="00E64956" w:rsidRDefault="00FC4C4C" w:rsidP="00FC4C4C">
      <w:pPr>
        <w:pStyle w:val="ListParagraph"/>
        <w:numPr>
          <w:ilvl w:val="0"/>
          <w:numId w:val="4"/>
        </w:numPr>
        <w:autoSpaceDE w:val="0"/>
        <w:autoSpaceDN w:val="0"/>
        <w:adjustRightInd w:val="0"/>
        <w:rPr>
          <w:rFonts w:ascii="Arial" w:eastAsia="Calibri" w:hAnsi="Arial" w:cs="Arial"/>
          <w:color w:val="1F497D"/>
          <w:sz w:val="22"/>
          <w:szCs w:val="22"/>
        </w:rPr>
      </w:pPr>
      <w:r w:rsidRPr="0099700A">
        <w:rPr>
          <w:rFonts w:ascii="Arial" w:eastAsia="Calibri" w:hAnsi="Arial" w:cs="Arial"/>
          <w:sz w:val="22"/>
          <w:szCs w:val="22"/>
        </w:rPr>
        <w:t xml:space="preserve">The trust has implemented a diverse recruitment panel </w:t>
      </w:r>
      <w:r>
        <w:rPr>
          <w:rFonts w:ascii="Arial" w:eastAsia="Calibri" w:hAnsi="Arial" w:cs="Arial"/>
          <w:sz w:val="22"/>
          <w:szCs w:val="22"/>
        </w:rPr>
        <w:t xml:space="preserve">process </w:t>
      </w:r>
      <w:r w:rsidRPr="0099700A">
        <w:rPr>
          <w:rFonts w:ascii="Arial" w:eastAsia="Calibri" w:hAnsi="Arial" w:cs="Arial"/>
          <w:sz w:val="22"/>
          <w:szCs w:val="22"/>
        </w:rPr>
        <w:t xml:space="preserve">which includes </w:t>
      </w:r>
      <w:r>
        <w:rPr>
          <w:rFonts w:ascii="Arial" w:eastAsia="Calibri" w:hAnsi="Arial" w:cs="Arial"/>
          <w:sz w:val="22"/>
          <w:szCs w:val="22"/>
        </w:rPr>
        <w:t xml:space="preserve">representatives of diverse </w:t>
      </w:r>
      <w:r w:rsidRPr="0099700A">
        <w:rPr>
          <w:rFonts w:ascii="Arial" w:eastAsia="Calibri" w:hAnsi="Arial" w:cs="Arial"/>
          <w:sz w:val="22"/>
          <w:szCs w:val="22"/>
        </w:rPr>
        <w:t>gender</w:t>
      </w:r>
      <w:r>
        <w:rPr>
          <w:rFonts w:ascii="Arial" w:eastAsia="Calibri" w:hAnsi="Arial" w:cs="Arial"/>
          <w:sz w:val="22"/>
          <w:szCs w:val="22"/>
        </w:rPr>
        <w:t>s</w:t>
      </w:r>
      <w:r w:rsidRPr="0099700A">
        <w:rPr>
          <w:rFonts w:ascii="Arial" w:eastAsia="Calibri" w:hAnsi="Arial" w:cs="Arial"/>
          <w:sz w:val="22"/>
          <w:szCs w:val="22"/>
        </w:rPr>
        <w:t xml:space="preserve">, </w:t>
      </w:r>
      <w:r>
        <w:rPr>
          <w:rFonts w:ascii="Arial" w:eastAsia="Calibri" w:hAnsi="Arial" w:cs="Arial"/>
          <w:sz w:val="22"/>
          <w:szCs w:val="22"/>
        </w:rPr>
        <w:t xml:space="preserve">a representative from </w:t>
      </w:r>
      <w:r w:rsidRPr="0099700A">
        <w:rPr>
          <w:rFonts w:ascii="Arial" w:eastAsia="Calibri" w:hAnsi="Arial" w:cs="Arial"/>
          <w:sz w:val="22"/>
          <w:szCs w:val="22"/>
        </w:rPr>
        <w:t xml:space="preserve">People Services and </w:t>
      </w:r>
      <w:r>
        <w:rPr>
          <w:rFonts w:ascii="Arial" w:eastAsia="Calibri" w:hAnsi="Arial" w:cs="Arial"/>
          <w:sz w:val="22"/>
          <w:szCs w:val="22"/>
        </w:rPr>
        <w:t xml:space="preserve">a </w:t>
      </w:r>
      <w:r w:rsidRPr="0099700A">
        <w:rPr>
          <w:rFonts w:ascii="Arial" w:eastAsia="Calibri" w:hAnsi="Arial" w:cs="Arial"/>
          <w:sz w:val="22"/>
          <w:szCs w:val="22"/>
        </w:rPr>
        <w:t xml:space="preserve">REACH member for bands 7 and above and all medical appointments. </w:t>
      </w:r>
      <w:r>
        <w:rPr>
          <w:rFonts w:ascii="Arial" w:eastAsia="Calibri" w:hAnsi="Arial" w:cs="Arial"/>
          <w:sz w:val="22"/>
          <w:szCs w:val="22"/>
        </w:rPr>
        <w:t>This has increased the overall number of diverse candidates being appointed.</w:t>
      </w:r>
    </w:p>
    <w:p w14:paraId="39A464FA" w14:textId="77777777" w:rsidR="00FC4C4C" w:rsidRPr="0099700A" w:rsidRDefault="00FC4C4C" w:rsidP="00FC4C4C">
      <w:pPr>
        <w:pStyle w:val="ListParagraph"/>
        <w:numPr>
          <w:ilvl w:val="0"/>
          <w:numId w:val="4"/>
        </w:numPr>
        <w:autoSpaceDE w:val="0"/>
        <w:autoSpaceDN w:val="0"/>
        <w:adjustRightInd w:val="0"/>
        <w:rPr>
          <w:rFonts w:ascii="Arial" w:eastAsia="Calibri" w:hAnsi="Arial" w:cs="Arial"/>
          <w:color w:val="1F497D"/>
          <w:sz w:val="22"/>
          <w:szCs w:val="22"/>
        </w:rPr>
      </w:pPr>
      <w:r w:rsidRPr="0099700A">
        <w:rPr>
          <w:rFonts w:ascii="Arial" w:eastAsia="Calibri" w:hAnsi="Arial" w:cs="Arial"/>
          <w:sz w:val="22"/>
          <w:szCs w:val="22"/>
        </w:rPr>
        <w:t>The Trust has been working collectively with our ESR team and recruitment in capturing our ethnicity data.</w:t>
      </w:r>
      <w:r>
        <w:rPr>
          <w:rFonts w:ascii="Arial" w:eastAsia="Calibri" w:hAnsi="Arial" w:cs="Arial"/>
          <w:sz w:val="22"/>
          <w:szCs w:val="22"/>
        </w:rPr>
        <w:t xml:space="preserve"> Between 2021 and 2022/3 the Trust has significantly reduced the ‘not stated’ ethnicity response from over 20% of applicants to under 1%. This has improved the quality of the data and may account for the 1.2 to 1.29 decline.</w:t>
      </w:r>
    </w:p>
    <w:p w14:paraId="72C29BAA" w14:textId="77777777" w:rsidR="00FC4C4C" w:rsidRPr="0099700A" w:rsidRDefault="00FC4C4C" w:rsidP="00FC4C4C">
      <w:pPr>
        <w:autoSpaceDE w:val="0"/>
        <w:autoSpaceDN w:val="0"/>
        <w:adjustRightInd w:val="0"/>
        <w:spacing w:after="0" w:line="240" w:lineRule="auto"/>
        <w:rPr>
          <w:rFonts w:ascii="Arial" w:eastAsia="Calibri" w:hAnsi="Arial" w:cs="Arial"/>
          <w:color w:val="1F497D"/>
        </w:rPr>
      </w:pPr>
    </w:p>
    <w:p w14:paraId="2EDAC896"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WRES Indicator 3</w:t>
      </w:r>
      <w:r w:rsidRPr="0099700A">
        <w:rPr>
          <w:rFonts w:ascii="Arial" w:eastAsia="Calibri" w:hAnsi="Arial" w:cs="Arial"/>
        </w:rPr>
        <w:t xml:space="preserve"> - compare the data for white and BME staff: Relative likelihood of staff entering the formal disciplinary process, as measured by entry into a formal disciplinary investigation.</w:t>
      </w:r>
    </w:p>
    <w:tbl>
      <w:tblPr>
        <w:tblStyle w:val="TableGrid1"/>
        <w:tblW w:w="9016" w:type="dxa"/>
        <w:tblLook w:val="04A0" w:firstRow="1" w:lastRow="0" w:firstColumn="1" w:lastColumn="0" w:noHBand="0" w:noVBand="1"/>
      </w:tblPr>
      <w:tblGrid>
        <w:gridCol w:w="1052"/>
        <w:gridCol w:w="1052"/>
        <w:gridCol w:w="1052"/>
        <w:gridCol w:w="1053"/>
        <w:gridCol w:w="1052"/>
        <w:gridCol w:w="1052"/>
        <w:gridCol w:w="1053"/>
        <w:gridCol w:w="1650"/>
      </w:tblGrid>
      <w:tr w:rsidR="00FC4C4C" w:rsidRPr="0099700A" w14:paraId="1811A238" w14:textId="77777777" w:rsidTr="00724B51">
        <w:tc>
          <w:tcPr>
            <w:tcW w:w="1052" w:type="dxa"/>
            <w:shd w:val="clear" w:color="auto" w:fill="EEECE1"/>
          </w:tcPr>
          <w:p w14:paraId="1A4DF7D7"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2017</w:t>
            </w:r>
          </w:p>
        </w:tc>
        <w:tc>
          <w:tcPr>
            <w:tcW w:w="1052" w:type="dxa"/>
            <w:shd w:val="clear" w:color="auto" w:fill="EEECE1"/>
          </w:tcPr>
          <w:p w14:paraId="3C29A250"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1052" w:type="dxa"/>
            <w:shd w:val="clear" w:color="auto" w:fill="EEECE1"/>
          </w:tcPr>
          <w:p w14:paraId="24449B2D"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1053" w:type="dxa"/>
            <w:shd w:val="clear" w:color="auto" w:fill="EEECE1"/>
          </w:tcPr>
          <w:p w14:paraId="7701C517"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052" w:type="dxa"/>
            <w:shd w:val="clear" w:color="auto" w:fill="EEECE1"/>
          </w:tcPr>
          <w:p w14:paraId="19F308F5"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052" w:type="dxa"/>
            <w:shd w:val="clear" w:color="auto" w:fill="EEECE1"/>
          </w:tcPr>
          <w:p w14:paraId="1BAB4D63"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1053" w:type="dxa"/>
            <w:shd w:val="clear" w:color="auto" w:fill="EEECE1"/>
          </w:tcPr>
          <w:p w14:paraId="15C49327"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2023</w:t>
            </w:r>
          </w:p>
        </w:tc>
        <w:tc>
          <w:tcPr>
            <w:tcW w:w="1650" w:type="dxa"/>
            <w:shd w:val="clear" w:color="auto" w:fill="EEECE1"/>
          </w:tcPr>
          <w:p w14:paraId="314DFDE2"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Trend</w:t>
            </w:r>
          </w:p>
        </w:tc>
      </w:tr>
      <w:tr w:rsidR="00FC4C4C" w:rsidRPr="0099700A" w14:paraId="097266F3" w14:textId="77777777" w:rsidTr="00724B51">
        <w:trPr>
          <w:trHeight w:val="480"/>
        </w:trPr>
        <w:tc>
          <w:tcPr>
            <w:tcW w:w="1052" w:type="dxa"/>
          </w:tcPr>
          <w:p w14:paraId="7788ED05"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0.71</w:t>
            </w:r>
          </w:p>
        </w:tc>
        <w:tc>
          <w:tcPr>
            <w:tcW w:w="1052" w:type="dxa"/>
          </w:tcPr>
          <w:p w14:paraId="5AF9DF3D"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1.84</w:t>
            </w:r>
          </w:p>
        </w:tc>
        <w:tc>
          <w:tcPr>
            <w:tcW w:w="1052" w:type="dxa"/>
          </w:tcPr>
          <w:p w14:paraId="3EF5FBE8"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0.63</w:t>
            </w:r>
          </w:p>
        </w:tc>
        <w:tc>
          <w:tcPr>
            <w:tcW w:w="1053" w:type="dxa"/>
          </w:tcPr>
          <w:p w14:paraId="7DCDB776"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0.29</w:t>
            </w:r>
          </w:p>
        </w:tc>
        <w:tc>
          <w:tcPr>
            <w:tcW w:w="1052" w:type="dxa"/>
          </w:tcPr>
          <w:p w14:paraId="5804354F"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0.86</w:t>
            </w:r>
          </w:p>
        </w:tc>
        <w:tc>
          <w:tcPr>
            <w:tcW w:w="1052" w:type="dxa"/>
          </w:tcPr>
          <w:p w14:paraId="347DF2E3"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1.32</w:t>
            </w:r>
          </w:p>
        </w:tc>
        <w:tc>
          <w:tcPr>
            <w:tcW w:w="1053" w:type="dxa"/>
          </w:tcPr>
          <w:p w14:paraId="5EDBCA7A" w14:textId="77777777" w:rsidR="00FC4C4C" w:rsidRPr="0099700A" w:rsidRDefault="00FC4C4C" w:rsidP="00724B51">
            <w:pPr>
              <w:autoSpaceDE w:val="0"/>
              <w:autoSpaceDN w:val="0"/>
              <w:adjustRightInd w:val="0"/>
              <w:jc w:val="center"/>
              <w:rPr>
                <w:rFonts w:ascii="Arial" w:eastAsia="Calibri" w:hAnsi="Arial" w:cs="Arial"/>
                <w:b/>
                <w:bCs/>
                <w:color w:val="76923C"/>
              </w:rPr>
            </w:pPr>
            <w:r w:rsidRPr="0099700A">
              <w:rPr>
                <w:rFonts w:ascii="Arial" w:eastAsia="Calibri" w:hAnsi="Arial" w:cs="Arial"/>
                <w:b/>
                <w:bCs/>
                <w:color w:val="76923C"/>
              </w:rPr>
              <w:t>0.41</w:t>
            </w:r>
          </w:p>
        </w:tc>
        <w:tc>
          <w:tcPr>
            <w:tcW w:w="1650" w:type="dxa"/>
          </w:tcPr>
          <w:p w14:paraId="30F38642"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4A97CC22" wp14:editId="3C7F2100">
                  <wp:extent cx="86677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3808" cy="233490"/>
                          </a:xfrm>
                          <a:prstGeom prst="rect">
                            <a:avLst/>
                          </a:prstGeom>
                        </pic:spPr>
                      </pic:pic>
                    </a:graphicData>
                  </a:graphic>
                </wp:inline>
              </w:drawing>
            </w:r>
          </w:p>
        </w:tc>
      </w:tr>
    </w:tbl>
    <w:p w14:paraId="04E42B02"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rPr>
        <w:t>*</w:t>
      </w:r>
      <w:r w:rsidRPr="0099700A">
        <w:rPr>
          <w:rFonts w:ascii="Arial" w:eastAsia="Calibri" w:hAnsi="Arial" w:cs="Arial"/>
          <w:i/>
          <w:iCs/>
        </w:rPr>
        <w:t>(</w:t>
      </w:r>
      <w:r w:rsidRPr="0099700A">
        <w:rPr>
          <w:rFonts w:ascii="Arial" w:eastAsia="Calibri" w:hAnsi="Arial" w:cs="Arial"/>
        </w:rPr>
        <w:t>A figure below “1” would indicate that BME staff members are less likely than white staff to enter the formal disciplinary process.)</w:t>
      </w:r>
    </w:p>
    <w:p w14:paraId="40529E14"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3C874181" w14:textId="77777777" w:rsidR="00FC4C4C" w:rsidRPr="0099700A" w:rsidRDefault="00FC4C4C" w:rsidP="00FC4C4C">
      <w:pPr>
        <w:pStyle w:val="ListParagraph"/>
        <w:numPr>
          <w:ilvl w:val="0"/>
          <w:numId w:val="1"/>
        </w:numPr>
        <w:autoSpaceDE w:val="0"/>
        <w:autoSpaceDN w:val="0"/>
        <w:adjustRightInd w:val="0"/>
        <w:rPr>
          <w:rFonts w:ascii="Arial" w:eastAsia="Calibri" w:hAnsi="Arial" w:cs="Arial"/>
          <w:sz w:val="22"/>
          <w:szCs w:val="22"/>
        </w:rPr>
      </w:pPr>
      <w:r w:rsidRPr="0099700A">
        <w:rPr>
          <w:rFonts w:ascii="Arial" w:eastAsia="Calibri" w:hAnsi="Arial" w:cs="Arial"/>
          <w:sz w:val="22"/>
          <w:szCs w:val="22"/>
        </w:rPr>
        <w:t xml:space="preserve">The data showing a positive improvement for BME staff members. </w:t>
      </w:r>
      <w:r>
        <w:rPr>
          <w:rFonts w:ascii="Arial" w:eastAsia="Calibri" w:hAnsi="Arial" w:cs="Arial"/>
          <w:sz w:val="22"/>
          <w:szCs w:val="22"/>
        </w:rPr>
        <w:t>However, there were fewer than 40 qualifying processes in 2022/23 so a change of 1 individual entering a formal process can significantly change the ratio.</w:t>
      </w:r>
    </w:p>
    <w:p w14:paraId="2BE8BC58"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1A8E4494"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WRES Indicator 4</w:t>
      </w:r>
      <w:r w:rsidRPr="0099700A">
        <w:rPr>
          <w:rFonts w:ascii="Arial" w:eastAsia="Calibri" w:hAnsi="Arial" w:cs="Arial"/>
        </w:rPr>
        <w:t xml:space="preserve"> – compare the data for white and BME staff: Relative likelihood of staff accessing non-mandatory training and CPD.</w:t>
      </w:r>
    </w:p>
    <w:tbl>
      <w:tblPr>
        <w:tblStyle w:val="TableGrid1"/>
        <w:tblW w:w="9067" w:type="dxa"/>
        <w:tblLayout w:type="fixed"/>
        <w:tblLook w:val="04A0" w:firstRow="1" w:lastRow="0" w:firstColumn="1" w:lastColumn="0" w:noHBand="0" w:noVBand="1"/>
      </w:tblPr>
      <w:tblGrid>
        <w:gridCol w:w="1052"/>
        <w:gridCol w:w="1052"/>
        <w:gridCol w:w="1052"/>
        <w:gridCol w:w="1053"/>
        <w:gridCol w:w="1052"/>
        <w:gridCol w:w="1052"/>
        <w:gridCol w:w="1053"/>
        <w:gridCol w:w="1701"/>
      </w:tblGrid>
      <w:tr w:rsidR="00FC4C4C" w:rsidRPr="0099700A" w14:paraId="133C6D69" w14:textId="77777777" w:rsidTr="00724B51">
        <w:tc>
          <w:tcPr>
            <w:tcW w:w="1052" w:type="dxa"/>
            <w:tcBorders>
              <w:bottom w:val="single" w:sz="6" w:space="0" w:color="auto"/>
            </w:tcBorders>
            <w:shd w:val="clear" w:color="auto" w:fill="EEECE1"/>
          </w:tcPr>
          <w:p w14:paraId="5EE9959D"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2017</w:t>
            </w:r>
          </w:p>
        </w:tc>
        <w:tc>
          <w:tcPr>
            <w:tcW w:w="1052" w:type="dxa"/>
            <w:tcBorders>
              <w:bottom w:val="single" w:sz="6" w:space="0" w:color="auto"/>
            </w:tcBorders>
            <w:shd w:val="clear" w:color="auto" w:fill="EEECE1"/>
          </w:tcPr>
          <w:p w14:paraId="421D9C8D"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1052" w:type="dxa"/>
            <w:tcBorders>
              <w:bottom w:val="single" w:sz="6" w:space="0" w:color="auto"/>
            </w:tcBorders>
            <w:shd w:val="clear" w:color="auto" w:fill="EEECE1"/>
          </w:tcPr>
          <w:p w14:paraId="050B9203"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1053" w:type="dxa"/>
            <w:tcBorders>
              <w:bottom w:val="single" w:sz="6" w:space="0" w:color="auto"/>
            </w:tcBorders>
            <w:shd w:val="clear" w:color="auto" w:fill="EEECE1"/>
          </w:tcPr>
          <w:p w14:paraId="27ED26D4"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052" w:type="dxa"/>
            <w:tcBorders>
              <w:bottom w:val="single" w:sz="6" w:space="0" w:color="auto"/>
            </w:tcBorders>
            <w:shd w:val="clear" w:color="auto" w:fill="EEECE1"/>
          </w:tcPr>
          <w:p w14:paraId="4FF74D29"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052" w:type="dxa"/>
            <w:tcBorders>
              <w:bottom w:val="single" w:sz="6" w:space="0" w:color="auto"/>
            </w:tcBorders>
            <w:shd w:val="clear" w:color="auto" w:fill="EEECE1"/>
          </w:tcPr>
          <w:p w14:paraId="5D57F5EF"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1053" w:type="dxa"/>
            <w:tcBorders>
              <w:bottom w:val="single" w:sz="6" w:space="0" w:color="auto"/>
            </w:tcBorders>
            <w:shd w:val="clear" w:color="auto" w:fill="EEECE1"/>
          </w:tcPr>
          <w:p w14:paraId="1282BC13"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2023</w:t>
            </w:r>
          </w:p>
        </w:tc>
        <w:tc>
          <w:tcPr>
            <w:tcW w:w="1701" w:type="dxa"/>
            <w:tcBorders>
              <w:bottom w:val="single" w:sz="6" w:space="0" w:color="auto"/>
            </w:tcBorders>
            <w:shd w:val="clear" w:color="auto" w:fill="EEECE1"/>
          </w:tcPr>
          <w:p w14:paraId="3C75EE1C"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Trend</w:t>
            </w:r>
          </w:p>
        </w:tc>
      </w:tr>
      <w:tr w:rsidR="00FC4C4C" w:rsidRPr="0099700A" w14:paraId="1AAFA522" w14:textId="77777777" w:rsidTr="00724B51">
        <w:trPr>
          <w:trHeight w:val="439"/>
        </w:trPr>
        <w:tc>
          <w:tcPr>
            <w:tcW w:w="1052" w:type="dxa"/>
            <w:tcBorders>
              <w:top w:val="single" w:sz="6" w:space="0" w:color="auto"/>
              <w:left w:val="single" w:sz="6" w:space="0" w:color="auto"/>
              <w:bottom w:val="single" w:sz="6" w:space="0" w:color="auto"/>
              <w:right w:val="single" w:sz="6" w:space="0" w:color="auto"/>
            </w:tcBorders>
            <w:shd w:val="clear" w:color="auto" w:fill="FFFFFF"/>
          </w:tcPr>
          <w:p w14:paraId="103E0254"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1.03</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5EC184C"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1.05</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3D6CF5E6"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0.98</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14:paraId="18224DAD"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1.00</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770AA682"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0.95</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14:paraId="6EA2C00F"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0.96</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14:paraId="74AF02F2" w14:textId="77777777" w:rsidR="00FC4C4C" w:rsidRPr="0099700A" w:rsidRDefault="00FC4C4C" w:rsidP="00724B51">
            <w:pPr>
              <w:autoSpaceDE w:val="0"/>
              <w:autoSpaceDN w:val="0"/>
              <w:adjustRightInd w:val="0"/>
              <w:jc w:val="center"/>
              <w:rPr>
                <w:rFonts w:ascii="Arial" w:eastAsia="Calibri" w:hAnsi="Arial" w:cs="Arial"/>
                <w:b/>
                <w:bCs/>
                <w:color w:val="FF0000"/>
              </w:rPr>
            </w:pPr>
            <w:r w:rsidRPr="0099700A">
              <w:rPr>
                <w:rFonts w:ascii="Arial" w:eastAsia="Calibri" w:hAnsi="Arial" w:cs="Arial"/>
                <w:b/>
                <w:bCs/>
                <w:color w:val="FF0000"/>
              </w:rPr>
              <w:t>0.99</w:t>
            </w:r>
          </w:p>
        </w:tc>
        <w:tc>
          <w:tcPr>
            <w:tcW w:w="1701" w:type="dxa"/>
            <w:tcBorders>
              <w:top w:val="single" w:sz="6" w:space="0" w:color="auto"/>
              <w:left w:val="single" w:sz="6" w:space="0" w:color="auto"/>
              <w:bottom w:val="single" w:sz="6" w:space="0" w:color="auto"/>
              <w:right w:val="single" w:sz="6" w:space="0" w:color="auto"/>
            </w:tcBorders>
          </w:tcPr>
          <w:p w14:paraId="7910F5B9"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noProof/>
              </w:rPr>
              <w:drawing>
                <wp:inline distT="0" distB="0" distL="0" distR="0" wp14:anchorId="7421BF02" wp14:editId="4DA9B0E7">
                  <wp:extent cx="91821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8793" cy="238276"/>
                          </a:xfrm>
                          <a:prstGeom prst="rect">
                            <a:avLst/>
                          </a:prstGeom>
                        </pic:spPr>
                      </pic:pic>
                    </a:graphicData>
                  </a:graphic>
                </wp:inline>
              </w:drawing>
            </w:r>
          </w:p>
        </w:tc>
      </w:tr>
    </w:tbl>
    <w:p w14:paraId="5F5EC49E"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rPr>
        <w:t>*(A figure below “1” would indicate that white staff members are less likely to access non-mandatory training and CPD than BME staff)</w:t>
      </w:r>
    </w:p>
    <w:p w14:paraId="51A9D53D"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7B6657F4" w14:textId="77777777" w:rsidR="00FC4C4C" w:rsidRPr="0099700A" w:rsidRDefault="00FC4C4C" w:rsidP="00FC4C4C">
      <w:pPr>
        <w:pStyle w:val="ListParagraph"/>
        <w:numPr>
          <w:ilvl w:val="0"/>
          <w:numId w:val="3"/>
        </w:numPr>
        <w:autoSpaceDE w:val="0"/>
        <w:autoSpaceDN w:val="0"/>
        <w:adjustRightInd w:val="0"/>
        <w:rPr>
          <w:rFonts w:ascii="Arial" w:eastAsia="Calibri" w:hAnsi="Arial" w:cs="Arial"/>
          <w:sz w:val="22"/>
          <w:szCs w:val="22"/>
        </w:rPr>
      </w:pPr>
      <w:r w:rsidRPr="0099700A">
        <w:rPr>
          <w:rFonts w:ascii="Arial" w:eastAsia="Calibri" w:hAnsi="Arial" w:cs="Arial"/>
          <w:sz w:val="22"/>
          <w:szCs w:val="22"/>
        </w:rPr>
        <w:t>Indicator 4 show there has been a decline from the previous year, however</w:t>
      </w:r>
      <w:r>
        <w:rPr>
          <w:rFonts w:ascii="Arial" w:eastAsia="Calibri" w:hAnsi="Arial" w:cs="Arial"/>
          <w:sz w:val="22"/>
          <w:szCs w:val="22"/>
        </w:rPr>
        <w:t>, the ideal score for this measure is 1.</w:t>
      </w:r>
    </w:p>
    <w:p w14:paraId="204920D5"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307D4227" w14:textId="77777777" w:rsidR="00FC4C4C" w:rsidRPr="0099700A" w:rsidRDefault="00FC4C4C" w:rsidP="00FC4C4C">
      <w:pPr>
        <w:shd w:val="clear" w:color="auto" w:fill="EEECE1"/>
        <w:autoSpaceDE w:val="0"/>
        <w:autoSpaceDN w:val="0"/>
        <w:adjustRightInd w:val="0"/>
        <w:spacing w:after="0" w:line="240" w:lineRule="auto"/>
        <w:jc w:val="center"/>
        <w:rPr>
          <w:rFonts w:ascii="Arial" w:eastAsia="Calibri" w:hAnsi="Arial" w:cs="Arial"/>
          <w:b/>
          <w:bCs/>
        </w:rPr>
      </w:pPr>
      <w:r w:rsidRPr="0099700A">
        <w:rPr>
          <w:rFonts w:ascii="Arial" w:eastAsia="Calibri" w:hAnsi="Arial" w:cs="Arial"/>
          <w:b/>
          <w:bCs/>
        </w:rPr>
        <w:t>Indicators 5-8 from 2022 staff survey data.</w:t>
      </w:r>
    </w:p>
    <w:p w14:paraId="505FA38A"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0011C904"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WRES Indicator 5</w:t>
      </w:r>
      <w:r w:rsidRPr="0099700A">
        <w:rPr>
          <w:rFonts w:ascii="Arial" w:eastAsia="Calibri" w:hAnsi="Arial" w:cs="Arial"/>
        </w:rPr>
        <w:t xml:space="preserve"> - compare the outcomes of the responses for white and BME staff: Percentage of staff experiencing harassment, bullying or abuse from patients, </w:t>
      </w:r>
      <w:proofErr w:type="gramStart"/>
      <w:r w:rsidRPr="0099700A">
        <w:rPr>
          <w:rFonts w:ascii="Arial" w:eastAsia="Calibri" w:hAnsi="Arial" w:cs="Arial"/>
        </w:rPr>
        <w:t>relatives</w:t>
      </w:r>
      <w:proofErr w:type="gramEnd"/>
      <w:r w:rsidRPr="0099700A">
        <w:rPr>
          <w:rFonts w:ascii="Arial" w:eastAsia="Calibri" w:hAnsi="Arial" w:cs="Arial"/>
        </w:rPr>
        <w:t xml:space="preserve"> or the public in last 12 months.</w:t>
      </w:r>
    </w:p>
    <w:tbl>
      <w:tblPr>
        <w:tblStyle w:val="TableGrid1"/>
        <w:tblW w:w="0" w:type="auto"/>
        <w:tblLook w:val="04A0" w:firstRow="1" w:lastRow="0" w:firstColumn="1" w:lastColumn="0" w:noHBand="0" w:noVBand="1"/>
      </w:tblPr>
      <w:tblGrid>
        <w:gridCol w:w="926"/>
        <w:gridCol w:w="876"/>
        <w:gridCol w:w="877"/>
        <w:gridCol w:w="877"/>
        <w:gridCol w:w="877"/>
        <w:gridCol w:w="877"/>
        <w:gridCol w:w="877"/>
        <w:gridCol w:w="1084"/>
        <w:gridCol w:w="1745"/>
      </w:tblGrid>
      <w:tr w:rsidR="00FC4C4C" w:rsidRPr="0099700A" w14:paraId="495AD9F9" w14:textId="77777777" w:rsidTr="00724B51">
        <w:tc>
          <w:tcPr>
            <w:tcW w:w="918" w:type="dxa"/>
            <w:tcBorders>
              <w:bottom w:val="single" w:sz="6" w:space="0" w:color="auto"/>
            </w:tcBorders>
            <w:shd w:val="clear" w:color="auto" w:fill="EEECE1"/>
          </w:tcPr>
          <w:p w14:paraId="455956CD" w14:textId="77777777" w:rsidR="00FC4C4C" w:rsidRPr="0099700A" w:rsidRDefault="00FC4C4C" w:rsidP="00724B51">
            <w:pPr>
              <w:autoSpaceDE w:val="0"/>
              <w:autoSpaceDN w:val="0"/>
              <w:adjustRightInd w:val="0"/>
              <w:jc w:val="center"/>
              <w:rPr>
                <w:rFonts w:ascii="Arial" w:eastAsia="Calibri" w:hAnsi="Arial" w:cs="Arial"/>
              </w:rPr>
            </w:pPr>
          </w:p>
        </w:tc>
        <w:tc>
          <w:tcPr>
            <w:tcW w:w="893" w:type="dxa"/>
            <w:tcBorders>
              <w:bottom w:val="single" w:sz="6" w:space="0" w:color="auto"/>
            </w:tcBorders>
            <w:shd w:val="clear" w:color="auto" w:fill="EEECE1"/>
          </w:tcPr>
          <w:p w14:paraId="0F63C0B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2017</w:t>
            </w:r>
          </w:p>
        </w:tc>
        <w:tc>
          <w:tcPr>
            <w:tcW w:w="894" w:type="dxa"/>
            <w:tcBorders>
              <w:bottom w:val="single" w:sz="6" w:space="0" w:color="auto"/>
            </w:tcBorders>
            <w:shd w:val="clear" w:color="auto" w:fill="EEECE1"/>
          </w:tcPr>
          <w:p w14:paraId="00E58746"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894" w:type="dxa"/>
            <w:tcBorders>
              <w:bottom w:val="single" w:sz="6" w:space="0" w:color="auto"/>
            </w:tcBorders>
            <w:shd w:val="clear" w:color="auto" w:fill="EEECE1"/>
          </w:tcPr>
          <w:p w14:paraId="00834AE5"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894" w:type="dxa"/>
            <w:tcBorders>
              <w:bottom w:val="single" w:sz="6" w:space="0" w:color="auto"/>
            </w:tcBorders>
            <w:shd w:val="clear" w:color="auto" w:fill="EEECE1"/>
          </w:tcPr>
          <w:p w14:paraId="47DCEB17"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894" w:type="dxa"/>
            <w:tcBorders>
              <w:bottom w:val="single" w:sz="6" w:space="0" w:color="auto"/>
            </w:tcBorders>
            <w:shd w:val="clear" w:color="auto" w:fill="EEECE1"/>
          </w:tcPr>
          <w:p w14:paraId="0133A3A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894" w:type="dxa"/>
            <w:tcBorders>
              <w:bottom w:val="single" w:sz="6" w:space="0" w:color="auto"/>
            </w:tcBorders>
            <w:shd w:val="clear" w:color="auto" w:fill="EEECE1"/>
          </w:tcPr>
          <w:p w14:paraId="351A74DE"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990" w:type="dxa"/>
            <w:tcBorders>
              <w:bottom w:val="single" w:sz="6" w:space="0" w:color="auto"/>
            </w:tcBorders>
            <w:shd w:val="clear" w:color="auto" w:fill="EEECE1"/>
          </w:tcPr>
          <w:p w14:paraId="530246C2"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National</w:t>
            </w:r>
          </w:p>
        </w:tc>
        <w:tc>
          <w:tcPr>
            <w:tcW w:w="1745" w:type="dxa"/>
            <w:tcBorders>
              <w:bottom w:val="single" w:sz="6" w:space="0" w:color="auto"/>
            </w:tcBorders>
            <w:shd w:val="clear" w:color="auto" w:fill="EEECE1"/>
          </w:tcPr>
          <w:p w14:paraId="19616B37"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Trend</w:t>
            </w:r>
          </w:p>
        </w:tc>
      </w:tr>
      <w:tr w:rsidR="00FC4C4C" w:rsidRPr="0099700A" w14:paraId="7CC7C1E8" w14:textId="77777777" w:rsidTr="00724B51">
        <w:tc>
          <w:tcPr>
            <w:tcW w:w="918" w:type="dxa"/>
            <w:tcBorders>
              <w:top w:val="single" w:sz="6" w:space="0" w:color="auto"/>
              <w:left w:val="single" w:sz="6" w:space="0" w:color="auto"/>
              <w:bottom w:val="single" w:sz="6" w:space="0" w:color="auto"/>
              <w:right w:val="single" w:sz="6" w:space="0" w:color="auto"/>
            </w:tcBorders>
          </w:tcPr>
          <w:p w14:paraId="3D68F9C0"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BME</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7F4221D9"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40.4%</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27197FA3"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37.4%</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18426928"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28.8%</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46C8EE4F"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23.4%</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256B312E"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36.8%</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1C4A7B71" w14:textId="77777777" w:rsidR="00FC4C4C" w:rsidRPr="0099700A" w:rsidRDefault="00FC4C4C" w:rsidP="00724B51">
            <w:pPr>
              <w:autoSpaceDE w:val="0"/>
              <w:autoSpaceDN w:val="0"/>
              <w:adjustRightInd w:val="0"/>
              <w:jc w:val="center"/>
              <w:rPr>
                <w:rFonts w:ascii="Arial" w:eastAsia="Calibri" w:hAnsi="Arial" w:cs="Arial"/>
                <w:b/>
                <w:bCs/>
                <w:color w:val="FF0000"/>
              </w:rPr>
            </w:pPr>
            <w:r w:rsidRPr="0099700A">
              <w:rPr>
                <w:rFonts w:ascii="Arial" w:eastAsia="Calibri" w:hAnsi="Arial" w:cs="Arial"/>
                <w:b/>
                <w:bCs/>
                <w:color w:val="FF0000"/>
              </w:rPr>
              <w:t>43.4%</w:t>
            </w:r>
          </w:p>
        </w:tc>
        <w:tc>
          <w:tcPr>
            <w:tcW w:w="990" w:type="dxa"/>
            <w:tcBorders>
              <w:top w:val="single" w:sz="6" w:space="0" w:color="auto"/>
              <w:left w:val="single" w:sz="6" w:space="0" w:color="auto"/>
              <w:bottom w:val="single" w:sz="6" w:space="0" w:color="auto"/>
              <w:right w:val="single" w:sz="6" w:space="0" w:color="auto"/>
            </w:tcBorders>
            <w:shd w:val="clear" w:color="auto" w:fill="EEECE1"/>
          </w:tcPr>
          <w:p w14:paraId="706E6DB2"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29.2%</w:t>
            </w:r>
          </w:p>
        </w:tc>
        <w:tc>
          <w:tcPr>
            <w:tcW w:w="1745" w:type="dxa"/>
            <w:tcBorders>
              <w:top w:val="single" w:sz="6" w:space="0" w:color="auto"/>
              <w:left w:val="single" w:sz="6" w:space="0" w:color="auto"/>
              <w:bottom w:val="single" w:sz="6" w:space="0" w:color="auto"/>
              <w:right w:val="single" w:sz="6" w:space="0" w:color="auto"/>
            </w:tcBorders>
          </w:tcPr>
          <w:p w14:paraId="57734916"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noProof/>
              </w:rPr>
              <w:drawing>
                <wp:inline distT="0" distB="0" distL="0" distR="0" wp14:anchorId="01F46D75" wp14:editId="1917C553">
                  <wp:extent cx="970278" cy="241931"/>
                  <wp:effectExtent l="0" t="0" r="1272" b="5719"/>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70278" cy="241931"/>
                          </a:xfrm>
                          <a:prstGeom prst="rect">
                            <a:avLst/>
                          </a:prstGeom>
                          <a:noFill/>
                          <a:ln>
                            <a:noFill/>
                            <a:prstDash/>
                          </a:ln>
                        </pic:spPr>
                      </pic:pic>
                    </a:graphicData>
                  </a:graphic>
                </wp:inline>
              </w:drawing>
            </w:r>
          </w:p>
        </w:tc>
      </w:tr>
      <w:tr w:rsidR="00FC4C4C" w:rsidRPr="0099700A" w14:paraId="24C28FD7" w14:textId="77777777" w:rsidTr="00724B51">
        <w:trPr>
          <w:trHeight w:val="383"/>
        </w:trPr>
        <w:tc>
          <w:tcPr>
            <w:tcW w:w="918" w:type="dxa"/>
            <w:tcBorders>
              <w:top w:val="single" w:sz="6" w:space="0" w:color="auto"/>
              <w:left w:val="single" w:sz="6" w:space="0" w:color="auto"/>
              <w:bottom w:val="single" w:sz="6" w:space="0" w:color="auto"/>
              <w:right w:val="single" w:sz="6" w:space="0" w:color="auto"/>
            </w:tcBorders>
          </w:tcPr>
          <w:p w14:paraId="1666D739"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WHITE</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025B5597"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31.2%</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04EF37F5"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30.4%</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68426B06"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34%</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5710BEC7"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36.9%</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3873C1A5"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25.0%</w:t>
            </w:r>
          </w:p>
        </w:tc>
        <w:tc>
          <w:tcPr>
            <w:tcW w:w="894" w:type="dxa"/>
            <w:tcBorders>
              <w:top w:val="single" w:sz="6" w:space="0" w:color="auto"/>
              <w:left w:val="single" w:sz="6" w:space="0" w:color="auto"/>
              <w:bottom w:val="single" w:sz="6" w:space="0" w:color="auto"/>
              <w:right w:val="single" w:sz="6" w:space="0" w:color="auto"/>
            </w:tcBorders>
            <w:shd w:val="clear" w:color="auto" w:fill="auto"/>
          </w:tcPr>
          <w:p w14:paraId="4BD89941"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25.8%</w:t>
            </w:r>
          </w:p>
        </w:tc>
        <w:tc>
          <w:tcPr>
            <w:tcW w:w="990" w:type="dxa"/>
            <w:tcBorders>
              <w:top w:val="single" w:sz="6" w:space="0" w:color="auto"/>
              <w:left w:val="single" w:sz="6" w:space="0" w:color="auto"/>
              <w:bottom w:val="single" w:sz="6" w:space="0" w:color="auto"/>
              <w:right w:val="single" w:sz="6" w:space="0" w:color="auto"/>
            </w:tcBorders>
            <w:shd w:val="clear" w:color="auto" w:fill="EEECE1"/>
          </w:tcPr>
          <w:p w14:paraId="4F7C22F0"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27.0%</w:t>
            </w:r>
          </w:p>
        </w:tc>
        <w:tc>
          <w:tcPr>
            <w:tcW w:w="1745" w:type="dxa"/>
            <w:tcBorders>
              <w:top w:val="single" w:sz="6" w:space="0" w:color="auto"/>
              <w:left w:val="single" w:sz="6" w:space="0" w:color="auto"/>
              <w:bottom w:val="single" w:sz="6" w:space="0" w:color="auto"/>
              <w:right w:val="single" w:sz="6" w:space="0" w:color="auto"/>
            </w:tcBorders>
          </w:tcPr>
          <w:p w14:paraId="6855203C"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noProof/>
              </w:rPr>
              <w:drawing>
                <wp:inline distT="0" distB="0" distL="0" distR="0" wp14:anchorId="3FF9ADE3" wp14:editId="6890B8CD">
                  <wp:extent cx="970278" cy="200655"/>
                  <wp:effectExtent l="0" t="0" r="1272" b="889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0278" cy="200655"/>
                          </a:xfrm>
                          <a:prstGeom prst="rect">
                            <a:avLst/>
                          </a:prstGeom>
                          <a:noFill/>
                          <a:ln>
                            <a:noFill/>
                            <a:prstDash/>
                          </a:ln>
                        </pic:spPr>
                      </pic:pic>
                    </a:graphicData>
                  </a:graphic>
                </wp:inline>
              </w:drawing>
            </w:r>
          </w:p>
        </w:tc>
      </w:tr>
    </w:tbl>
    <w:p w14:paraId="5714F01D" w14:textId="77777777" w:rsidR="00FC4C4C" w:rsidRPr="0099700A" w:rsidRDefault="00FC4C4C" w:rsidP="00FC4C4C">
      <w:pPr>
        <w:autoSpaceDE w:val="0"/>
        <w:autoSpaceDN w:val="0"/>
        <w:adjustRightInd w:val="0"/>
        <w:spacing w:after="0" w:line="240" w:lineRule="auto"/>
        <w:rPr>
          <w:rFonts w:ascii="Arial" w:eastAsia="Calibri" w:hAnsi="Arial" w:cs="Arial"/>
          <w:i/>
          <w:iCs/>
        </w:rPr>
      </w:pPr>
      <w:r w:rsidRPr="0099700A">
        <w:rPr>
          <w:rFonts w:ascii="Arial" w:eastAsia="Calibri" w:hAnsi="Arial" w:cs="Arial"/>
          <w:i/>
          <w:iCs/>
        </w:rPr>
        <w:t xml:space="preserve">Appendix 11, 12 &amp; 13 is data directly from the 2022 National Staff Survey, which is indicator 5 in WRES. The data suggests that African, nurses and midwives of those within the age range of 21-30 are those who </w:t>
      </w:r>
      <w:r>
        <w:rPr>
          <w:rFonts w:ascii="Arial" w:eastAsia="Calibri" w:hAnsi="Arial" w:cs="Arial"/>
          <w:i/>
          <w:iCs/>
        </w:rPr>
        <w:t xml:space="preserve">are most likely to </w:t>
      </w:r>
      <w:r w:rsidRPr="0099700A">
        <w:rPr>
          <w:rFonts w:ascii="Arial" w:eastAsia="Calibri" w:hAnsi="Arial" w:cs="Arial"/>
          <w:i/>
          <w:iCs/>
        </w:rPr>
        <w:t xml:space="preserve">have experienced harassment, bullying or abuse from patients/service users, their </w:t>
      </w:r>
      <w:proofErr w:type="gramStart"/>
      <w:r w:rsidRPr="0099700A">
        <w:rPr>
          <w:rFonts w:ascii="Arial" w:eastAsia="Calibri" w:hAnsi="Arial" w:cs="Arial"/>
          <w:i/>
          <w:iCs/>
        </w:rPr>
        <w:t>relatives</w:t>
      </w:r>
      <w:proofErr w:type="gramEnd"/>
      <w:r w:rsidRPr="0099700A">
        <w:rPr>
          <w:rFonts w:ascii="Arial" w:eastAsia="Calibri" w:hAnsi="Arial" w:cs="Arial"/>
          <w:i/>
          <w:iCs/>
        </w:rPr>
        <w:t xml:space="preserve"> or members of the public.</w:t>
      </w:r>
    </w:p>
    <w:p w14:paraId="594C6D8A"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64131B47" w14:textId="77777777" w:rsidR="00FC4C4C" w:rsidRPr="00084254" w:rsidRDefault="00FC4C4C" w:rsidP="00FC4C4C">
      <w:pPr>
        <w:pStyle w:val="ListParagraph"/>
        <w:numPr>
          <w:ilvl w:val="0"/>
          <w:numId w:val="3"/>
        </w:numPr>
        <w:autoSpaceDE w:val="0"/>
        <w:autoSpaceDN w:val="0"/>
        <w:adjustRightInd w:val="0"/>
        <w:rPr>
          <w:rFonts w:ascii="Arial" w:eastAsia="Calibri" w:hAnsi="Arial" w:cs="Arial"/>
          <w:i/>
          <w:iCs/>
          <w:sz w:val="22"/>
          <w:szCs w:val="22"/>
        </w:rPr>
      </w:pPr>
      <w:r w:rsidRPr="0099700A">
        <w:rPr>
          <w:rFonts w:ascii="Arial" w:eastAsia="Calibri" w:hAnsi="Arial" w:cs="Arial"/>
          <w:sz w:val="22"/>
          <w:szCs w:val="22"/>
        </w:rPr>
        <w:t xml:space="preserve">The data from indicator 5 shows a significant decline for staff experiencing harassment, bullying or abuse from patients and the public. Since </w:t>
      </w:r>
      <w:r>
        <w:rPr>
          <w:rFonts w:ascii="Arial" w:eastAsia="Calibri" w:hAnsi="Arial" w:cs="Arial"/>
          <w:sz w:val="22"/>
          <w:szCs w:val="22"/>
        </w:rPr>
        <w:t>this data was collected</w:t>
      </w:r>
      <w:r w:rsidRPr="0099700A">
        <w:rPr>
          <w:rFonts w:ascii="Arial" w:eastAsia="Calibri" w:hAnsi="Arial" w:cs="Arial"/>
          <w:sz w:val="22"/>
          <w:szCs w:val="22"/>
        </w:rPr>
        <w:t xml:space="preserve"> the data, we have launched a 12 week ‘No Excuse for Abuse’ campaign </w:t>
      </w:r>
      <w:r w:rsidRPr="0099700A">
        <w:rPr>
          <w:rFonts w:ascii="Arial" w:eastAsia="Calibri" w:hAnsi="Arial" w:cs="Arial"/>
          <w:sz w:val="22"/>
          <w:szCs w:val="22"/>
        </w:rPr>
        <w:lastRenderedPageBreak/>
        <w:t>that our staff spearheaded. This campaign is supported by a newly updated policy, managing unacceptable behaviours</w:t>
      </w:r>
      <w:r>
        <w:rPr>
          <w:rFonts w:ascii="Arial" w:eastAsia="Calibri" w:hAnsi="Arial" w:cs="Arial"/>
          <w:sz w:val="22"/>
          <w:szCs w:val="22"/>
        </w:rPr>
        <w:t xml:space="preserve"> and increased engagement with the system, unions and our estates and facilities teams.</w:t>
      </w:r>
    </w:p>
    <w:p w14:paraId="4C0A4BF5" w14:textId="77777777" w:rsidR="00FC4C4C" w:rsidRDefault="00FC4C4C" w:rsidP="00FC4C4C">
      <w:pPr>
        <w:autoSpaceDE w:val="0"/>
        <w:autoSpaceDN w:val="0"/>
        <w:adjustRightInd w:val="0"/>
        <w:rPr>
          <w:rFonts w:ascii="Arial" w:eastAsia="Calibri" w:hAnsi="Arial" w:cs="Arial"/>
          <w:i/>
          <w:iCs/>
        </w:rPr>
      </w:pPr>
    </w:p>
    <w:p w14:paraId="021678F2"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WRES indicator 6</w:t>
      </w:r>
      <w:r w:rsidRPr="0099700A">
        <w:rPr>
          <w:rFonts w:ascii="Arial" w:eastAsia="Calibri" w:hAnsi="Arial" w:cs="Arial"/>
        </w:rPr>
        <w:t xml:space="preserve"> - compare the outcomes of the responses for white and BME staff: Percentage of staff experiencing harassment, bullying or abuse from staff in last 12 months.</w:t>
      </w:r>
    </w:p>
    <w:tbl>
      <w:tblPr>
        <w:tblStyle w:val="TableGrid1"/>
        <w:tblW w:w="0" w:type="auto"/>
        <w:tblLook w:val="04A0" w:firstRow="1" w:lastRow="0" w:firstColumn="1" w:lastColumn="0" w:noHBand="0" w:noVBand="1"/>
      </w:tblPr>
      <w:tblGrid>
        <w:gridCol w:w="926"/>
        <w:gridCol w:w="876"/>
        <w:gridCol w:w="877"/>
        <w:gridCol w:w="877"/>
        <w:gridCol w:w="877"/>
        <w:gridCol w:w="877"/>
        <w:gridCol w:w="877"/>
        <w:gridCol w:w="1084"/>
        <w:gridCol w:w="1745"/>
      </w:tblGrid>
      <w:tr w:rsidR="00FC4C4C" w:rsidRPr="0099700A" w14:paraId="1962985D" w14:textId="77777777" w:rsidTr="00724B51">
        <w:tc>
          <w:tcPr>
            <w:tcW w:w="916" w:type="dxa"/>
            <w:tcBorders>
              <w:bottom w:val="single" w:sz="6" w:space="0" w:color="auto"/>
            </w:tcBorders>
            <w:shd w:val="clear" w:color="auto" w:fill="EEECE1"/>
          </w:tcPr>
          <w:p w14:paraId="332A7AA3" w14:textId="77777777" w:rsidR="00FC4C4C" w:rsidRPr="0099700A" w:rsidRDefault="00FC4C4C" w:rsidP="00724B51">
            <w:pPr>
              <w:autoSpaceDE w:val="0"/>
              <w:autoSpaceDN w:val="0"/>
              <w:adjustRightInd w:val="0"/>
              <w:jc w:val="center"/>
              <w:rPr>
                <w:rFonts w:ascii="Arial" w:eastAsia="Calibri" w:hAnsi="Arial" w:cs="Arial"/>
              </w:rPr>
            </w:pPr>
          </w:p>
        </w:tc>
        <w:tc>
          <w:tcPr>
            <w:tcW w:w="891" w:type="dxa"/>
            <w:tcBorders>
              <w:bottom w:val="single" w:sz="6" w:space="0" w:color="auto"/>
            </w:tcBorders>
            <w:shd w:val="clear" w:color="auto" w:fill="EEECE1"/>
          </w:tcPr>
          <w:p w14:paraId="7FAF84D2"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2017</w:t>
            </w:r>
          </w:p>
        </w:tc>
        <w:tc>
          <w:tcPr>
            <w:tcW w:w="893" w:type="dxa"/>
            <w:tcBorders>
              <w:bottom w:val="single" w:sz="6" w:space="0" w:color="auto"/>
            </w:tcBorders>
            <w:shd w:val="clear" w:color="auto" w:fill="EEECE1"/>
          </w:tcPr>
          <w:p w14:paraId="0B8779AF"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893" w:type="dxa"/>
            <w:tcBorders>
              <w:bottom w:val="single" w:sz="6" w:space="0" w:color="auto"/>
            </w:tcBorders>
            <w:shd w:val="clear" w:color="auto" w:fill="EEECE1"/>
          </w:tcPr>
          <w:p w14:paraId="6753D8C2"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893" w:type="dxa"/>
            <w:tcBorders>
              <w:bottom w:val="single" w:sz="6" w:space="0" w:color="auto"/>
            </w:tcBorders>
            <w:shd w:val="clear" w:color="auto" w:fill="EEECE1"/>
          </w:tcPr>
          <w:p w14:paraId="16AF6E6F"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893" w:type="dxa"/>
            <w:tcBorders>
              <w:bottom w:val="single" w:sz="6" w:space="0" w:color="auto"/>
            </w:tcBorders>
            <w:shd w:val="clear" w:color="auto" w:fill="EEECE1"/>
          </w:tcPr>
          <w:p w14:paraId="632C57A3"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893" w:type="dxa"/>
            <w:tcBorders>
              <w:bottom w:val="single" w:sz="6" w:space="0" w:color="auto"/>
            </w:tcBorders>
            <w:shd w:val="clear" w:color="auto" w:fill="EEECE1"/>
          </w:tcPr>
          <w:p w14:paraId="372AF4B6"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999" w:type="dxa"/>
            <w:tcBorders>
              <w:bottom w:val="single" w:sz="6" w:space="0" w:color="auto"/>
            </w:tcBorders>
            <w:shd w:val="clear" w:color="auto" w:fill="EEECE1"/>
          </w:tcPr>
          <w:p w14:paraId="05FAC48F"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National</w:t>
            </w:r>
          </w:p>
        </w:tc>
        <w:tc>
          <w:tcPr>
            <w:tcW w:w="1745" w:type="dxa"/>
            <w:tcBorders>
              <w:bottom w:val="single" w:sz="6" w:space="0" w:color="auto"/>
            </w:tcBorders>
            <w:shd w:val="clear" w:color="auto" w:fill="EEECE1"/>
          </w:tcPr>
          <w:p w14:paraId="00535EA5"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Trend</w:t>
            </w:r>
          </w:p>
        </w:tc>
      </w:tr>
      <w:tr w:rsidR="00FC4C4C" w:rsidRPr="0099700A" w14:paraId="70BF279C" w14:textId="77777777" w:rsidTr="00724B51">
        <w:trPr>
          <w:trHeight w:val="359"/>
        </w:trPr>
        <w:tc>
          <w:tcPr>
            <w:tcW w:w="916" w:type="dxa"/>
            <w:tcBorders>
              <w:top w:val="single" w:sz="6" w:space="0" w:color="auto"/>
              <w:left w:val="single" w:sz="6" w:space="0" w:color="auto"/>
              <w:bottom w:val="single" w:sz="6" w:space="0" w:color="auto"/>
              <w:right w:val="single" w:sz="6" w:space="0" w:color="auto"/>
            </w:tcBorders>
          </w:tcPr>
          <w:p w14:paraId="767BF902"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BME</w:t>
            </w:r>
          </w:p>
        </w:tc>
        <w:tc>
          <w:tcPr>
            <w:tcW w:w="891" w:type="dxa"/>
            <w:tcBorders>
              <w:top w:val="single" w:sz="6" w:space="0" w:color="auto"/>
              <w:left w:val="single" w:sz="6" w:space="0" w:color="auto"/>
              <w:bottom w:val="single" w:sz="6" w:space="0" w:color="auto"/>
              <w:right w:val="single" w:sz="6" w:space="0" w:color="auto"/>
            </w:tcBorders>
            <w:shd w:val="clear" w:color="auto" w:fill="auto"/>
          </w:tcPr>
          <w:p w14:paraId="0D0CA60A"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27.2%</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394A914B"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29.1%</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7CB4C4E8"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37.2%</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3DF2F03E"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29.1%</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2BF74D05"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34.1%</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49529221" w14:textId="77777777" w:rsidR="00FC4C4C" w:rsidRPr="0099700A" w:rsidRDefault="00FC4C4C" w:rsidP="00724B51">
            <w:pPr>
              <w:autoSpaceDE w:val="0"/>
              <w:autoSpaceDN w:val="0"/>
              <w:adjustRightInd w:val="0"/>
              <w:jc w:val="center"/>
              <w:rPr>
                <w:rFonts w:ascii="Arial" w:eastAsia="Calibri" w:hAnsi="Arial" w:cs="Arial"/>
                <w:b/>
                <w:bCs/>
                <w:color w:val="9BBB59"/>
              </w:rPr>
            </w:pPr>
            <w:r w:rsidRPr="0099700A">
              <w:rPr>
                <w:rFonts w:ascii="Arial" w:eastAsia="Calibri" w:hAnsi="Arial" w:cs="Arial"/>
                <w:b/>
                <w:bCs/>
                <w:color w:val="9BBB59"/>
              </w:rPr>
              <w:t>33.7%</w:t>
            </w:r>
          </w:p>
        </w:tc>
        <w:tc>
          <w:tcPr>
            <w:tcW w:w="999" w:type="dxa"/>
            <w:tcBorders>
              <w:top w:val="single" w:sz="6" w:space="0" w:color="auto"/>
              <w:left w:val="single" w:sz="6" w:space="0" w:color="auto"/>
              <w:bottom w:val="single" w:sz="6" w:space="0" w:color="auto"/>
              <w:right w:val="single" w:sz="6" w:space="0" w:color="auto"/>
            </w:tcBorders>
            <w:shd w:val="clear" w:color="auto" w:fill="EEECE1"/>
          </w:tcPr>
          <w:p w14:paraId="7FBCE99B"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27.6%</w:t>
            </w:r>
          </w:p>
        </w:tc>
        <w:tc>
          <w:tcPr>
            <w:tcW w:w="1745" w:type="dxa"/>
            <w:tcBorders>
              <w:top w:val="single" w:sz="6" w:space="0" w:color="auto"/>
              <w:left w:val="single" w:sz="6" w:space="0" w:color="auto"/>
              <w:bottom w:val="single" w:sz="6" w:space="0" w:color="auto"/>
              <w:right w:val="single" w:sz="6" w:space="0" w:color="auto"/>
            </w:tcBorders>
          </w:tcPr>
          <w:p w14:paraId="0D5AD58D"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noProof/>
              </w:rPr>
              <w:drawing>
                <wp:inline distT="0" distB="0" distL="0" distR="0" wp14:anchorId="130E7A6D" wp14:editId="2D7B54EE">
                  <wp:extent cx="970278" cy="168277"/>
                  <wp:effectExtent l="0" t="0" r="1272" b="3173"/>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70278" cy="168277"/>
                          </a:xfrm>
                          <a:prstGeom prst="rect">
                            <a:avLst/>
                          </a:prstGeom>
                          <a:noFill/>
                          <a:ln>
                            <a:noFill/>
                            <a:prstDash/>
                          </a:ln>
                        </pic:spPr>
                      </pic:pic>
                    </a:graphicData>
                  </a:graphic>
                </wp:inline>
              </w:drawing>
            </w:r>
          </w:p>
        </w:tc>
      </w:tr>
      <w:tr w:rsidR="00FC4C4C" w:rsidRPr="0099700A" w14:paraId="2B062CFD" w14:textId="77777777" w:rsidTr="00724B51">
        <w:tc>
          <w:tcPr>
            <w:tcW w:w="916" w:type="dxa"/>
            <w:tcBorders>
              <w:top w:val="single" w:sz="6" w:space="0" w:color="auto"/>
              <w:left w:val="single" w:sz="6" w:space="0" w:color="auto"/>
              <w:bottom w:val="single" w:sz="6" w:space="0" w:color="auto"/>
              <w:right w:val="single" w:sz="6" w:space="0" w:color="auto"/>
            </w:tcBorders>
          </w:tcPr>
          <w:p w14:paraId="705F7E03"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WHITE</w:t>
            </w:r>
          </w:p>
        </w:tc>
        <w:tc>
          <w:tcPr>
            <w:tcW w:w="891" w:type="dxa"/>
            <w:tcBorders>
              <w:top w:val="single" w:sz="6" w:space="0" w:color="auto"/>
              <w:left w:val="single" w:sz="6" w:space="0" w:color="auto"/>
              <w:bottom w:val="single" w:sz="6" w:space="0" w:color="auto"/>
              <w:right w:val="single" w:sz="6" w:space="0" w:color="auto"/>
            </w:tcBorders>
            <w:shd w:val="clear" w:color="auto" w:fill="auto"/>
          </w:tcPr>
          <w:p w14:paraId="1A721A20"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28.4%</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2660F9CB"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31.1%</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715BB51D"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29.4%</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6640079A"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27.7%</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417098B4"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29.9%</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179F119A"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27.3%</w:t>
            </w:r>
          </w:p>
        </w:tc>
        <w:tc>
          <w:tcPr>
            <w:tcW w:w="999" w:type="dxa"/>
            <w:tcBorders>
              <w:top w:val="single" w:sz="6" w:space="0" w:color="auto"/>
              <w:left w:val="single" w:sz="6" w:space="0" w:color="auto"/>
              <w:bottom w:val="single" w:sz="6" w:space="0" w:color="auto"/>
              <w:right w:val="single" w:sz="6" w:space="0" w:color="auto"/>
            </w:tcBorders>
            <w:shd w:val="clear" w:color="auto" w:fill="EEECE1"/>
          </w:tcPr>
          <w:p w14:paraId="4C72FD1D"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22.5%</w:t>
            </w:r>
          </w:p>
        </w:tc>
        <w:tc>
          <w:tcPr>
            <w:tcW w:w="1745" w:type="dxa"/>
            <w:tcBorders>
              <w:top w:val="single" w:sz="6" w:space="0" w:color="auto"/>
              <w:left w:val="single" w:sz="6" w:space="0" w:color="auto"/>
              <w:bottom w:val="single" w:sz="6" w:space="0" w:color="auto"/>
              <w:right w:val="single" w:sz="6" w:space="0" w:color="auto"/>
            </w:tcBorders>
          </w:tcPr>
          <w:p w14:paraId="726515E7"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noProof/>
              </w:rPr>
              <w:drawing>
                <wp:inline distT="0" distB="0" distL="0" distR="0" wp14:anchorId="6F76042D" wp14:editId="1D8B2AC3">
                  <wp:extent cx="857250" cy="2349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58999" cy="235429"/>
                          </a:xfrm>
                          <a:prstGeom prst="rect">
                            <a:avLst/>
                          </a:prstGeom>
                          <a:noFill/>
                          <a:ln>
                            <a:noFill/>
                            <a:prstDash/>
                          </a:ln>
                        </pic:spPr>
                      </pic:pic>
                    </a:graphicData>
                  </a:graphic>
                </wp:inline>
              </w:drawing>
            </w:r>
          </w:p>
        </w:tc>
      </w:tr>
    </w:tbl>
    <w:p w14:paraId="26F8B94F" w14:textId="77777777" w:rsidR="00FC4C4C" w:rsidRPr="0099700A" w:rsidRDefault="00FC4C4C" w:rsidP="00FC4C4C">
      <w:pPr>
        <w:autoSpaceDE w:val="0"/>
        <w:autoSpaceDN w:val="0"/>
        <w:adjustRightInd w:val="0"/>
        <w:spacing w:after="0" w:line="240" w:lineRule="auto"/>
        <w:rPr>
          <w:rFonts w:ascii="Arial" w:eastAsia="Calibri" w:hAnsi="Arial" w:cs="Arial"/>
          <w:i/>
          <w:iCs/>
        </w:rPr>
      </w:pPr>
    </w:p>
    <w:p w14:paraId="2EE9C58C" w14:textId="77777777" w:rsidR="00FC4C4C" w:rsidRDefault="00FC4C4C" w:rsidP="00FC4C4C">
      <w:pPr>
        <w:pStyle w:val="ListParagraph"/>
        <w:numPr>
          <w:ilvl w:val="0"/>
          <w:numId w:val="3"/>
        </w:numPr>
        <w:autoSpaceDE w:val="0"/>
        <w:autoSpaceDN w:val="0"/>
        <w:adjustRightInd w:val="0"/>
        <w:rPr>
          <w:rFonts w:ascii="Arial" w:eastAsia="Calibri" w:hAnsi="Arial" w:cs="Arial"/>
          <w:sz w:val="22"/>
          <w:szCs w:val="22"/>
        </w:rPr>
      </w:pPr>
      <w:r w:rsidRPr="0099700A">
        <w:rPr>
          <w:rFonts w:ascii="Arial" w:eastAsia="Calibri" w:hAnsi="Arial" w:cs="Arial"/>
          <w:sz w:val="22"/>
          <w:szCs w:val="22"/>
        </w:rPr>
        <w:t>A positive improvement from the previous year regarding staff experience harassment, bullying or abuse. However, above the national average, our ‘No Excuse for Abuse’ campaign will support this metric to improve.</w:t>
      </w:r>
    </w:p>
    <w:p w14:paraId="594C4807" w14:textId="77777777" w:rsidR="00FC4C4C" w:rsidRPr="0099700A" w:rsidRDefault="00FC4C4C" w:rsidP="00FC4C4C">
      <w:pPr>
        <w:pStyle w:val="ListParagraph"/>
        <w:numPr>
          <w:ilvl w:val="0"/>
          <w:numId w:val="3"/>
        </w:numPr>
        <w:autoSpaceDE w:val="0"/>
        <w:autoSpaceDN w:val="0"/>
        <w:adjustRightInd w:val="0"/>
        <w:rPr>
          <w:rFonts w:ascii="Arial" w:eastAsia="Calibri" w:hAnsi="Arial" w:cs="Arial"/>
          <w:sz w:val="22"/>
          <w:szCs w:val="22"/>
        </w:rPr>
      </w:pPr>
      <w:r>
        <w:rPr>
          <w:rFonts w:ascii="Arial" w:eastAsia="Calibri" w:hAnsi="Arial" w:cs="Arial"/>
          <w:sz w:val="22"/>
          <w:szCs w:val="22"/>
        </w:rPr>
        <w:t>We are also working with unions and managers to ensure that policies and processes are equitably applied and conducted in a timely manner.</w:t>
      </w:r>
    </w:p>
    <w:p w14:paraId="5E7408E9" w14:textId="77777777" w:rsidR="00FC4C4C" w:rsidRPr="0099700A" w:rsidRDefault="00FC4C4C" w:rsidP="00FC4C4C">
      <w:pPr>
        <w:autoSpaceDE w:val="0"/>
        <w:autoSpaceDN w:val="0"/>
        <w:adjustRightInd w:val="0"/>
        <w:spacing w:after="0" w:line="240" w:lineRule="auto"/>
        <w:rPr>
          <w:rFonts w:ascii="Arial" w:eastAsia="Calibri" w:hAnsi="Arial" w:cs="Arial"/>
          <w:b/>
          <w:bCs/>
        </w:rPr>
      </w:pPr>
    </w:p>
    <w:p w14:paraId="2486C0B7"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WRES Indicator 7</w:t>
      </w:r>
      <w:r w:rsidRPr="0099700A">
        <w:rPr>
          <w:rFonts w:ascii="Arial" w:eastAsia="Calibri" w:hAnsi="Arial" w:cs="Arial"/>
        </w:rPr>
        <w:t xml:space="preserve"> - compare the outcomes of the responses for white and BME staff: Percentage of staff believing that their organisation provides equal opportunities for career progression or promotion.</w:t>
      </w:r>
    </w:p>
    <w:tbl>
      <w:tblPr>
        <w:tblStyle w:val="TableGrid1"/>
        <w:tblW w:w="0" w:type="auto"/>
        <w:tblLook w:val="04A0" w:firstRow="1" w:lastRow="0" w:firstColumn="1" w:lastColumn="0" w:noHBand="0" w:noVBand="1"/>
      </w:tblPr>
      <w:tblGrid>
        <w:gridCol w:w="926"/>
        <w:gridCol w:w="876"/>
        <w:gridCol w:w="877"/>
        <w:gridCol w:w="877"/>
        <w:gridCol w:w="877"/>
        <w:gridCol w:w="877"/>
        <w:gridCol w:w="877"/>
        <w:gridCol w:w="1084"/>
        <w:gridCol w:w="1745"/>
      </w:tblGrid>
      <w:tr w:rsidR="00FC4C4C" w:rsidRPr="0099700A" w14:paraId="13619D5B" w14:textId="77777777" w:rsidTr="00724B51">
        <w:tc>
          <w:tcPr>
            <w:tcW w:w="916" w:type="dxa"/>
            <w:tcBorders>
              <w:bottom w:val="single" w:sz="6" w:space="0" w:color="auto"/>
            </w:tcBorders>
            <w:shd w:val="clear" w:color="auto" w:fill="EEECE1"/>
          </w:tcPr>
          <w:p w14:paraId="609BFFCD" w14:textId="77777777" w:rsidR="00FC4C4C" w:rsidRPr="0099700A" w:rsidRDefault="00FC4C4C" w:rsidP="00724B51">
            <w:pPr>
              <w:autoSpaceDE w:val="0"/>
              <w:autoSpaceDN w:val="0"/>
              <w:adjustRightInd w:val="0"/>
              <w:jc w:val="center"/>
              <w:rPr>
                <w:rFonts w:ascii="Arial" w:eastAsia="Calibri" w:hAnsi="Arial" w:cs="Arial"/>
              </w:rPr>
            </w:pPr>
          </w:p>
        </w:tc>
        <w:tc>
          <w:tcPr>
            <w:tcW w:w="891" w:type="dxa"/>
            <w:tcBorders>
              <w:bottom w:val="single" w:sz="6" w:space="0" w:color="auto"/>
            </w:tcBorders>
            <w:shd w:val="clear" w:color="auto" w:fill="EEECE1"/>
          </w:tcPr>
          <w:p w14:paraId="5BB134B6"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2017</w:t>
            </w:r>
          </w:p>
        </w:tc>
        <w:tc>
          <w:tcPr>
            <w:tcW w:w="893" w:type="dxa"/>
            <w:tcBorders>
              <w:bottom w:val="single" w:sz="6" w:space="0" w:color="auto"/>
            </w:tcBorders>
            <w:shd w:val="clear" w:color="auto" w:fill="EEECE1"/>
          </w:tcPr>
          <w:p w14:paraId="384010C5"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893" w:type="dxa"/>
            <w:tcBorders>
              <w:bottom w:val="single" w:sz="6" w:space="0" w:color="auto"/>
            </w:tcBorders>
            <w:shd w:val="clear" w:color="auto" w:fill="EEECE1"/>
          </w:tcPr>
          <w:p w14:paraId="0CD02991"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893" w:type="dxa"/>
            <w:tcBorders>
              <w:bottom w:val="single" w:sz="6" w:space="0" w:color="auto"/>
            </w:tcBorders>
            <w:shd w:val="clear" w:color="auto" w:fill="EEECE1"/>
          </w:tcPr>
          <w:p w14:paraId="28D7448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893" w:type="dxa"/>
            <w:tcBorders>
              <w:bottom w:val="single" w:sz="6" w:space="0" w:color="auto"/>
            </w:tcBorders>
            <w:shd w:val="clear" w:color="auto" w:fill="EEECE1"/>
          </w:tcPr>
          <w:p w14:paraId="656D4A0E"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893" w:type="dxa"/>
            <w:tcBorders>
              <w:bottom w:val="single" w:sz="6" w:space="0" w:color="auto"/>
            </w:tcBorders>
            <w:shd w:val="clear" w:color="auto" w:fill="EEECE1"/>
          </w:tcPr>
          <w:p w14:paraId="2CBEF8D1"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999" w:type="dxa"/>
            <w:tcBorders>
              <w:bottom w:val="single" w:sz="6" w:space="0" w:color="auto"/>
            </w:tcBorders>
            <w:shd w:val="clear" w:color="auto" w:fill="EEECE1"/>
          </w:tcPr>
          <w:p w14:paraId="355C3BD3"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National</w:t>
            </w:r>
          </w:p>
        </w:tc>
        <w:tc>
          <w:tcPr>
            <w:tcW w:w="1745" w:type="dxa"/>
            <w:tcBorders>
              <w:bottom w:val="single" w:sz="6" w:space="0" w:color="auto"/>
            </w:tcBorders>
            <w:shd w:val="clear" w:color="auto" w:fill="EEECE1"/>
          </w:tcPr>
          <w:p w14:paraId="2E6FD596"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Trend</w:t>
            </w:r>
          </w:p>
        </w:tc>
      </w:tr>
      <w:tr w:rsidR="00FC4C4C" w:rsidRPr="0099700A" w14:paraId="7C1F17E2" w14:textId="77777777" w:rsidTr="00724B51">
        <w:trPr>
          <w:trHeight w:val="321"/>
        </w:trPr>
        <w:tc>
          <w:tcPr>
            <w:tcW w:w="916" w:type="dxa"/>
            <w:tcBorders>
              <w:top w:val="single" w:sz="6" w:space="0" w:color="auto"/>
              <w:left w:val="single" w:sz="6" w:space="0" w:color="auto"/>
              <w:bottom w:val="single" w:sz="6" w:space="0" w:color="auto"/>
              <w:right w:val="single" w:sz="6" w:space="0" w:color="auto"/>
            </w:tcBorders>
          </w:tcPr>
          <w:p w14:paraId="22DE78F0"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BME</w:t>
            </w:r>
          </w:p>
        </w:tc>
        <w:tc>
          <w:tcPr>
            <w:tcW w:w="891" w:type="dxa"/>
            <w:tcBorders>
              <w:top w:val="single" w:sz="6" w:space="0" w:color="auto"/>
              <w:left w:val="single" w:sz="6" w:space="0" w:color="auto"/>
              <w:bottom w:val="single" w:sz="6" w:space="0" w:color="auto"/>
              <w:right w:val="single" w:sz="6" w:space="0" w:color="auto"/>
            </w:tcBorders>
            <w:shd w:val="clear" w:color="auto" w:fill="auto"/>
          </w:tcPr>
          <w:p w14:paraId="4BD25099"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55.3%</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5E6AED60"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43.2%</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47215603"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46.5%</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64ED9EA2"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45.6%</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0AEB9C20"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39.2%</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0BD120FD" w14:textId="77777777" w:rsidR="00FC4C4C" w:rsidRPr="0099700A" w:rsidRDefault="00FC4C4C" w:rsidP="00724B51">
            <w:pPr>
              <w:autoSpaceDE w:val="0"/>
              <w:autoSpaceDN w:val="0"/>
              <w:adjustRightInd w:val="0"/>
              <w:jc w:val="center"/>
              <w:rPr>
                <w:rFonts w:ascii="Arial" w:eastAsia="Calibri" w:hAnsi="Arial" w:cs="Arial"/>
                <w:b/>
                <w:bCs/>
                <w:color w:val="9BBB59"/>
              </w:rPr>
            </w:pPr>
            <w:r w:rsidRPr="0099700A">
              <w:rPr>
                <w:rFonts w:ascii="Arial" w:eastAsia="Calibri" w:hAnsi="Arial" w:cs="Arial"/>
                <w:b/>
                <w:bCs/>
                <w:color w:val="9BBB59"/>
              </w:rPr>
              <w:t>47.9%</w:t>
            </w:r>
          </w:p>
        </w:tc>
        <w:tc>
          <w:tcPr>
            <w:tcW w:w="999" w:type="dxa"/>
            <w:tcBorders>
              <w:top w:val="single" w:sz="6" w:space="0" w:color="auto"/>
              <w:left w:val="single" w:sz="6" w:space="0" w:color="auto"/>
              <w:bottom w:val="single" w:sz="6" w:space="0" w:color="auto"/>
              <w:right w:val="single" w:sz="6" w:space="0" w:color="auto"/>
            </w:tcBorders>
            <w:shd w:val="clear" w:color="auto" w:fill="EEECE1"/>
          </w:tcPr>
          <w:p w14:paraId="70EB4793"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44.4%</w:t>
            </w:r>
          </w:p>
        </w:tc>
        <w:tc>
          <w:tcPr>
            <w:tcW w:w="1745" w:type="dxa"/>
            <w:tcBorders>
              <w:top w:val="single" w:sz="6" w:space="0" w:color="auto"/>
              <w:left w:val="single" w:sz="6" w:space="0" w:color="auto"/>
              <w:bottom w:val="single" w:sz="6" w:space="0" w:color="auto"/>
              <w:right w:val="single" w:sz="6" w:space="0" w:color="auto"/>
            </w:tcBorders>
          </w:tcPr>
          <w:p w14:paraId="0D25BF0D"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noProof/>
              </w:rPr>
              <w:drawing>
                <wp:inline distT="0" distB="0" distL="0" distR="0" wp14:anchorId="7EF42A6A" wp14:editId="780C31D2">
                  <wp:extent cx="970278" cy="192408"/>
                  <wp:effectExtent l="0" t="0" r="1272"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70278" cy="192408"/>
                          </a:xfrm>
                          <a:prstGeom prst="rect">
                            <a:avLst/>
                          </a:prstGeom>
                          <a:noFill/>
                          <a:ln>
                            <a:noFill/>
                            <a:prstDash/>
                          </a:ln>
                        </pic:spPr>
                      </pic:pic>
                    </a:graphicData>
                  </a:graphic>
                </wp:inline>
              </w:drawing>
            </w:r>
          </w:p>
        </w:tc>
      </w:tr>
      <w:tr w:rsidR="00FC4C4C" w:rsidRPr="0099700A" w14:paraId="46B5A252" w14:textId="77777777" w:rsidTr="00724B51">
        <w:trPr>
          <w:trHeight w:val="311"/>
        </w:trPr>
        <w:tc>
          <w:tcPr>
            <w:tcW w:w="916" w:type="dxa"/>
            <w:tcBorders>
              <w:top w:val="single" w:sz="6" w:space="0" w:color="auto"/>
            </w:tcBorders>
          </w:tcPr>
          <w:p w14:paraId="4FE421DA"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WHITE</w:t>
            </w:r>
          </w:p>
        </w:tc>
        <w:tc>
          <w:tcPr>
            <w:tcW w:w="891" w:type="dxa"/>
            <w:tcBorders>
              <w:top w:val="single" w:sz="6" w:space="0" w:color="auto"/>
              <w:left w:val="single" w:sz="12" w:space="0" w:color="000000"/>
              <w:bottom w:val="single" w:sz="4" w:space="0" w:color="000000"/>
              <w:right w:val="single" w:sz="12" w:space="0" w:color="000000"/>
            </w:tcBorders>
            <w:shd w:val="clear" w:color="auto" w:fill="auto"/>
          </w:tcPr>
          <w:p w14:paraId="7DF37FA2"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62.7%</w:t>
            </w:r>
          </w:p>
        </w:tc>
        <w:tc>
          <w:tcPr>
            <w:tcW w:w="893" w:type="dxa"/>
            <w:tcBorders>
              <w:top w:val="single" w:sz="6" w:space="0" w:color="auto"/>
              <w:left w:val="single" w:sz="12" w:space="0" w:color="000000"/>
              <w:bottom w:val="single" w:sz="4" w:space="0" w:color="000000"/>
              <w:right w:val="single" w:sz="12" w:space="0" w:color="000000"/>
            </w:tcBorders>
            <w:shd w:val="clear" w:color="auto" w:fill="auto"/>
          </w:tcPr>
          <w:p w14:paraId="01746915"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52.0%</w:t>
            </w:r>
          </w:p>
        </w:tc>
        <w:tc>
          <w:tcPr>
            <w:tcW w:w="893" w:type="dxa"/>
            <w:tcBorders>
              <w:top w:val="single" w:sz="6" w:space="0" w:color="auto"/>
              <w:left w:val="single" w:sz="4" w:space="0" w:color="000000"/>
              <w:bottom w:val="single" w:sz="4" w:space="0" w:color="000000"/>
              <w:right w:val="single" w:sz="12" w:space="0" w:color="000000"/>
            </w:tcBorders>
            <w:shd w:val="clear" w:color="auto" w:fill="auto"/>
          </w:tcPr>
          <w:p w14:paraId="69F00E96"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55.4%</w:t>
            </w:r>
          </w:p>
        </w:tc>
        <w:tc>
          <w:tcPr>
            <w:tcW w:w="893" w:type="dxa"/>
            <w:tcBorders>
              <w:top w:val="single" w:sz="6" w:space="0" w:color="auto"/>
              <w:left w:val="single" w:sz="12" w:space="0" w:color="000000"/>
              <w:bottom w:val="single" w:sz="4" w:space="0" w:color="000000"/>
              <w:right w:val="single" w:sz="4" w:space="0" w:color="000000"/>
            </w:tcBorders>
            <w:shd w:val="clear" w:color="auto" w:fill="auto"/>
          </w:tcPr>
          <w:p w14:paraId="396C8708"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56.0%</w:t>
            </w:r>
          </w:p>
        </w:tc>
        <w:tc>
          <w:tcPr>
            <w:tcW w:w="893" w:type="dxa"/>
            <w:tcBorders>
              <w:top w:val="single" w:sz="6" w:space="0" w:color="auto"/>
              <w:left w:val="single" w:sz="12" w:space="0" w:color="000000"/>
              <w:bottom w:val="single" w:sz="4" w:space="0" w:color="000000"/>
              <w:right w:val="single" w:sz="12" w:space="0" w:color="000000"/>
            </w:tcBorders>
            <w:shd w:val="clear" w:color="auto" w:fill="auto"/>
          </w:tcPr>
          <w:p w14:paraId="13850A7C"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58.5%</w:t>
            </w:r>
          </w:p>
        </w:tc>
        <w:tc>
          <w:tcPr>
            <w:tcW w:w="893" w:type="dxa"/>
            <w:tcBorders>
              <w:top w:val="single" w:sz="6" w:space="0" w:color="auto"/>
              <w:left w:val="single" w:sz="12" w:space="0" w:color="000000"/>
              <w:bottom w:val="single" w:sz="4" w:space="0" w:color="000000"/>
              <w:right w:val="single" w:sz="12" w:space="0" w:color="000000"/>
            </w:tcBorders>
            <w:shd w:val="clear" w:color="auto" w:fill="auto"/>
          </w:tcPr>
          <w:p w14:paraId="71F002F2"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57.3%</w:t>
            </w:r>
          </w:p>
        </w:tc>
        <w:tc>
          <w:tcPr>
            <w:tcW w:w="999" w:type="dxa"/>
            <w:tcBorders>
              <w:top w:val="single" w:sz="6" w:space="0" w:color="auto"/>
              <w:left w:val="single" w:sz="12" w:space="0" w:color="000000"/>
              <w:bottom w:val="single" w:sz="4" w:space="0" w:color="000000"/>
              <w:right w:val="single" w:sz="12" w:space="0" w:color="000000"/>
            </w:tcBorders>
            <w:shd w:val="clear" w:color="auto" w:fill="EEECE1"/>
          </w:tcPr>
          <w:p w14:paraId="1FADFE32"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58.7%</w:t>
            </w:r>
          </w:p>
        </w:tc>
        <w:tc>
          <w:tcPr>
            <w:tcW w:w="1745" w:type="dxa"/>
            <w:tcBorders>
              <w:top w:val="single" w:sz="6" w:space="0" w:color="auto"/>
            </w:tcBorders>
          </w:tcPr>
          <w:p w14:paraId="70FD7670"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06E03550" wp14:editId="6269E074">
                  <wp:extent cx="970278" cy="151132"/>
                  <wp:effectExtent l="0" t="0" r="1272" b="1268"/>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70278" cy="151132"/>
                          </a:xfrm>
                          <a:prstGeom prst="rect">
                            <a:avLst/>
                          </a:prstGeom>
                          <a:noFill/>
                          <a:ln>
                            <a:noFill/>
                            <a:prstDash/>
                          </a:ln>
                        </pic:spPr>
                      </pic:pic>
                    </a:graphicData>
                  </a:graphic>
                </wp:inline>
              </w:drawing>
            </w:r>
          </w:p>
        </w:tc>
      </w:tr>
    </w:tbl>
    <w:p w14:paraId="4120F28A" w14:textId="77777777" w:rsidR="00FC4C4C" w:rsidRPr="0099700A" w:rsidRDefault="00FC4C4C" w:rsidP="00FC4C4C">
      <w:pPr>
        <w:autoSpaceDE w:val="0"/>
        <w:autoSpaceDN w:val="0"/>
        <w:adjustRightInd w:val="0"/>
        <w:spacing w:after="0" w:line="240" w:lineRule="auto"/>
        <w:rPr>
          <w:rFonts w:ascii="Arial" w:eastAsia="Calibri" w:hAnsi="Arial" w:cs="Arial"/>
          <w:i/>
          <w:iCs/>
        </w:rPr>
      </w:pPr>
      <w:r w:rsidRPr="0099700A">
        <w:rPr>
          <w:rFonts w:ascii="Arial" w:eastAsia="Calibri" w:hAnsi="Arial" w:cs="Arial"/>
        </w:rPr>
        <w:t>*</w:t>
      </w:r>
      <w:r w:rsidRPr="0099700A">
        <w:rPr>
          <w:rFonts w:ascii="Arial" w:eastAsia="Calibri" w:hAnsi="Arial" w:cs="Arial"/>
          <w:i/>
          <w:iCs/>
        </w:rPr>
        <w:t>Positive improvement for BME staff in 2022</w:t>
      </w:r>
    </w:p>
    <w:p w14:paraId="28056E4D" w14:textId="77777777" w:rsidR="00FC4C4C" w:rsidRPr="0099700A" w:rsidRDefault="00FC4C4C" w:rsidP="00FC4C4C">
      <w:pPr>
        <w:autoSpaceDE w:val="0"/>
        <w:autoSpaceDN w:val="0"/>
        <w:adjustRightInd w:val="0"/>
        <w:spacing w:after="0" w:line="240" w:lineRule="auto"/>
        <w:rPr>
          <w:rFonts w:ascii="Arial" w:eastAsia="Calibri" w:hAnsi="Arial" w:cs="Arial"/>
          <w:i/>
          <w:iCs/>
        </w:rPr>
      </w:pPr>
    </w:p>
    <w:p w14:paraId="73655577" w14:textId="77777777" w:rsidR="00FC4C4C" w:rsidRDefault="00FC4C4C" w:rsidP="00FC4C4C">
      <w:pPr>
        <w:pStyle w:val="ListParagraph"/>
        <w:numPr>
          <w:ilvl w:val="0"/>
          <w:numId w:val="3"/>
        </w:numPr>
        <w:autoSpaceDE w:val="0"/>
        <w:autoSpaceDN w:val="0"/>
        <w:adjustRightInd w:val="0"/>
        <w:rPr>
          <w:rFonts w:ascii="Arial" w:eastAsia="Calibri" w:hAnsi="Arial" w:cs="Arial"/>
          <w:sz w:val="22"/>
          <w:szCs w:val="22"/>
        </w:rPr>
      </w:pPr>
      <w:r w:rsidRPr="0099700A">
        <w:rPr>
          <w:rFonts w:ascii="Arial" w:eastAsia="Calibri" w:hAnsi="Arial" w:cs="Arial"/>
          <w:sz w:val="22"/>
          <w:szCs w:val="22"/>
        </w:rPr>
        <w:t>Indicator 7 shows a significant improvement in terms of providing equal opportunities for career advancement or promotion, with a nearly nine percent improvement and higher than the national result.</w:t>
      </w:r>
      <w:r>
        <w:rPr>
          <w:rFonts w:ascii="Arial" w:eastAsia="Calibri" w:hAnsi="Arial" w:cs="Arial"/>
          <w:sz w:val="22"/>
          <w:szCs w:val="22"/>
        </w:rPr>
        <w:t xml:space="preserve"> While this still lags behind the experience of white staff, the Trust has been promoting system and regional learning opportunities for BAME background staff.</w:t>
      </w:r>
    </w:p>
    <w:p w14:paraId="118C99BD" w14:textId="2EB5461B" w:rsidR="00FC4C4C" w:rsidRDefault="00FC4C4C" w:rsidP="00FC4C4C">
      <w:pPr>
        <w:pStyle w:val="ListParagraph"/>
        <w:numPr>
          <w:ilvl w:val="0"/>
          <w:numId w:val="3"/>
        </w:numPr>
        <w:autoSpaceDE w:val="0"/>
        <w:autoSpaceDN w:val="0"/>
        <w:adjustRightInd w:val="0"/>
        <w:rPr>
          <w:rFonts w:ascii="Arial" w:eastAsia="Calibri" w:hAnsi="Arial" w:cs="Arial"/>
          <w:sz w:val="22"/>
          <w:szCs w:val="22"/>
        </w:rPr>
      </w:pPr>
      <w:r>
        <w:rPr>
          <w:rFonts w:ascii="Arial" w:eastAsia="Calibri" w:hAnsi="Arial" w:cs="Arial"/>
          <w:sz w:val="22"/>
          <w:szCs w:val="22"/>
        </w:rPr>
        <w:t xml:space="preserve">The Trust is considering career development opportunities and coaching for internationally recruited nurses </w:t>
      </w:r>
      <w:r w:rsidR="00311705">
        <w:rPr>
          <w:rFonts w:ascii="Arial" w:eastAsia="Calibri" w:hAnsi="Arial" w:cs="Arial"/>
          <w:sz w:val="22"/>
          <w:szCs w:val="22"/>
        </w:rPr>
        <w:t>who</w:t>
      </w:r>
      <w:r>
        <w:rPr>
          <w:rFonts w:ascii="Arial" w:eastAsia="Calibri" w:hAnsi="Arial" w:cs="Arial"/>
          <w:sz w:val="22"/>
          <w:szCs w:val="22"/>
        </w:rPr>
        <w:t xml:space="preserve"> have worked for the Trust for a number of years to support their development.</w:t>
      </w:r>
    </w:p>
    <w:p w14:paraId="52DD276C" w14:textId="46DBD6FE" w:rsidR="00FB6AAC" w:rsidRPr="00FB6AAC" w:rsidRDefault="00FB6AAC" w:rsidP="00FB6AAC">
      <w:pPr>
        <w:pStyle w:val="ListParagraph"/>
        <w:numPr>
          <w:ilvl w:val="0"/>
          <w:numId w:val="3"/>
        </w:numPr>
        <w:autoSpaceDE w:val="0"/>
        <w:autoSpaceDN w:val="0"/>
        <w:adjustRightInd w:val="0"/>
        <w:rPr>
          <w:rFonts w:ascii="Arial" w:eastAsia="Calibri" w:hAnsi="Arial" w:cs="Arial"/>
          <w:color w:val="000000"/>
          <w:sz w:val="22"/>
          <w:szCs w:val="22"/>
        </w:rPr>
      </w:pPr>
      <w:r w:rsidRPr="0099700A">
        <w:rPr>
          <w:rFonts w:ascii="Arial" w:eastAsia="Calibri" w:hAnsi="Arial" w:cs="Arial"/>
          <w:color w:val="000000"/>
          <w:sz w:val="22"/>
          <w:szCs w:val="22"/>
        </w:rPr>
        <w:t>A bespoke REACH development programme, where two colleagues out of 5 have received a promotion and one colleague a sideways move.</w:t>
      </w:r>
      <w:r>
        <w:rPr>
          <w:rFonts w:ascii="Arial" w:eastAsia="Calibri" w:hAnsi="Arial" w:cs="Arial"/>
          <w:color w:val="000000"/>
          <w:sz w:val="22"/>
          <w:szCs w:val="22"/>
        </w:rPr>
        <w:t xml:space="preserve"> A similar programme is under development for our disabled staff group.</w:t>
      </w:r>
    </w:p>
    <w:p w14:paraId="59F2A387"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4C7850E7"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WRES Indicator 8</w:t>
      </w:r>
      <w:r w:rsidRPr="0099700A">
        <w:rPr>
          <w:rFonts w:ascii="Arial" w:eastAsia="Calibri" w:hAnsi="Arial" w:cs="Arial"/>
        </w:rPr>
        <w:t xml:space="preserve"> - compare the outcomes of the responses for white and BME staff: In the last 12 months have you personally experienced discrimination at work from any of the following?</w:t>
      </w:r>
    </w:p>
    <w:p w14:paraId="3EC4861C"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rPr>
        <w:t>(b) Manager/team leader or other colleagues</w:t>
      </w:r>
    </w:p>
    <w:tbl>
      <w:tblPr>
        <w:tblStyle w:val="TableGrid1"/>
        <w:tblW w:w="0" w:type="auto"/>
        <w:tblLook w:val="04A0" w:firstRow="1" w:lastRow="0" w:firstColumn="1" w:lastColumn="0" w:noHBand="0" w:noVBand="1"/>
      </w:tblPr>
      <w:tblGrid>
        <w:gridCol w:w="926"/>
        <w:gridCol w:w="876"/>
        <w:gridCol w:w="877"/>
        <w:gridCol w:w="877"/>
        <w:gridCol w:w="877"/>
        <w:gridCol w:w="877"/>
        <w:gridCol w:w="877"/>
        <w:gridCol w:w="1084"/>
        <w:gridCol w:w="1745"/>
      </w:tblGrid>
      <w:tr w:rsidR="00FC4C4C" w:rsidRPr="0099700A" w14:paraId="12E27946" w14:textId="77777777" w:rsidTr="00724B51">
        <w:tc>
          <w:tcPr>
            <w:tcW w:w="916" w:type="dxa"/>
            <w:tcBorders>
              <w:bottom w:val="single" w:sz="6" w:space="0" w:color="auto"/>
            </w:tcBorders>
            <w:shd w:val="clear" w:color="auto" w:fill="EEECE1"/>
          </w:tcPr>
          <w:p w14:paraId="1459B1FF" w14:textId="77777777" w:rsidR="00FC4C4C" w:rsidRPr="0099700A" w:rsidRDefault="00FC4C4C" w:rsidP="00724B51">
            <w:pPr>
              <w:autoSpaceDE w:val="0"/>
              <w:autoSpaceDN w:val="0"/>
              <w:adjustRightInd w:val="0"/>
              <w:jc w:val="center"/>
              <w:rPr>
                <w:rFonts w:ascii="Arial" w:eastAsia="Calibri" w:hAnsi="Arial" w:cs="Arial"/>
              </w:rPr>
            </w:pPr>
          </w:p>
        </w:tc>
        <w:tc>
          <w:tcPr>
            <w:tcW w:w="891" w:type="dxa"/>
            <w:tcBorders>
              <w:bottom w:val="single" w:sz="6" w:space="0" w:color="auto"/>
            </w:tcBorders>
            <w:shd w:val="clear" w:color="auto" w:fill="EEECE1"/>
          </w:tcPr>
          <w:p w14:paraId="500E4499"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2017</w:t>
            </w:r>
          </w:p>
        </w:tc>
        <w:tc>
          <w:tcPr>
            <w:tcW w:w="893" w:type="dxa"/>
            <w:tcBorders>
              <w:bottom w:val="single" w:sz="6" w:space="0" w:color="auto"/>
            </w:tcBorders>
            <w:shd w:val="clear" w:color="auto" w:fill="EEECE1"/>
          </w:tcPr>
          <w:p w14:paraId="4E6A8DEE"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893" w:type="dxa"/>
            <w:tcBorders>
              <w:bottom w:val="single" w:sz="6" w:space="0" w:color="auto"/>
            </w:tcBorders>
            <w:shd w:val="clear" w:color="auto" w:fill="EEECE1"/>
          </w:tcPr>
          <w:p w14:paraId="68D3AFF6"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893" w:type="dxa"/>
            <w:tcBorders>
              <w:bottom w:val="single" w:sz="6" w:space="0" w:color="auto"/>
            </w:tcBorders>
            <w:shd w:val="clear" w:color="auto" w:fill="EEECE1"/>
          </w:tcPr>
          <w:p w14:paraId="1C125BA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893" w:type="dxa"/>
            <w:tcBorders>
              <w:bottom w:val="single" w:sz="6" w:space="0" w:color="auto"/>
            </w:tcBorders>
            <w:shd w:val="clear" w:color="auto" w:fill="EEECE1"/>
          </w:tcPr>
          <w:p w14:paraId="075366CC"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893" w:type="dxa"/>
            <w:tcBorders>
              <w:bottom w:val="single" w:sz="6" w:space="0" w:color="auto"/>
            </w:tcBorders>
            <w:shd w:val="clear" w:color="auto" w:fill="EEECE1"/>
          </w:tcPr>
          <w:p w14:paraId="259B5203"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999" w:type="dxa"/>
            <w:tcBorders>
              <w:bottom w:val="single" w:sz="6" w:space="0" w:color="auto"/>
            </w:tcBorders>
            <w:shd w:val="clear" w:color="auto" w:fill="EEECE1"/>
          </w:tcPr>
          <w:p w14:paraId="52A615E1"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National</w:t>
            </w:r>
          </w:p>
        </w:tc>
        <w:tc>
          <w:tcPr>
            <w:tcW w:w="1745" w:type="dxa"/>
            <w:tcBorders>
              <w:bottom w:val="single" w:sz="6" w:space="0" w:color="auto"/>
            </w:tcBorders>
            <w:shd w:val="clear" w:color="auto" w:fill="EEECE1"/>
          </w:tcPr>
          <w:p w14:paraId="48A23BF1"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Trend</w:t>
            </w:r>
          </w:p>
        </w:tc>
      </w:tr>
      <w:tr w:rsidR="00FC4C4C" w:rsidRPr="0099700A" w14:paraId="62539F9C" w14:textId="77777777" w:rsidTr="00724B51">
        <w:trPr>
          <w:trHeight w:val="375"/>
        </w:trPr>
        <w:tc>
          <w:tcPr>
            <w:tcW w:w="916" w:type="dxa"/>
            <w:tcBorders>
              <w:top w:val="single" w:sz="6" w:space="0" w:color="auto"/>
              <w:left w:val="single" w:sz="6" w:space="0" w:color="auto"/>
              <w:bottom w:val="single" w:sz="6" w:space="0" w:color="auto"/>
              <w:right w:val="single" w:sz="6" w:space="0" w:color="auto"/>
            </w:tcBorders>
          </w:tcPr>
          <w:p w14:paraId="15533B6A"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BME</w:t>
            </w:r>
          </w:p>
        </w:tc>
        <w:tc>
          <w:tcPr>
            <w:tcW w:w="891" w:type="dxa"/>
            <w:tcBorders>
              <w:top w:val="single" w:sz="6" w:space="0" w:color="auto"/>
              <w:left w:val="single" w:sz="6" w:space="0" w:color="auto"/>
              <w:bottom w:val="single" w:sz="6" w:space="0" w:color="auto"/>
              <w:right w:val="single" w:sz="6" w:space="0" w:color="auto"/>
            </w:tcBorders>
            <w:shd w:val="clear" w:color="auto" w:fill="auto"/>
          </w:tcPr>
          <w:p w14:paraId="351B01D6"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16.8%</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68224EA6"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16.8%</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07302354"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17.2%</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5CC80C01"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18.7%</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01816EF0"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21.1%</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5D89A83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color w:val="9BBB59"/>
              </w:rPr>
              <w:t>19.9%</w:t>
            </w:r>
          </w:p>
        </w:tc>
        <w:tc>
          <w:tcPr>
            <w:tcW w:w="999" w:type="dxa"/>
            <w:tcBorders>
              <w:top w:val="single" w:sz="6" w:space="0" w:color="auto"/>
              <w:left w:val="single" w:sz="6" w:space="0" w:color="auto"/>
              <w:bottom w:val="single" w:sz="6" w:space="0" w:color="auto"/>
              <w:right w:val="single" w:sz="6" w:space="0" w:color="auto"/>
            </w:tcBorders>
            <w:shd w:val="clear" w:color="auto" w:fill="EEECE1"/>
          </w:tcPr>
          <w:p w14:paraId="0507BE5F"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17.9%</w:t>
            </w:r>
          </w:p>
        </w:tc>
        <w:tc>
          <w:tcPr>
            <w:tcW w:w="1745" w:type="dxa"/>
            <w:tcBorders>
              <w:top w:val="single" w:sz="6" w:space="0" w:color="auto"/>
              <w:left w:val="single" w:sz="6" w:space="0" w:color="auto"/>
              <w:bottom w:val="single" w:sz="6" w:space="0" w:color="auto"/>
              <w:right w:val="single" w:sz="6" w:space="0" w:color="auto"/>
            </w:tcBorders>
          </w:tcPr>
          <w:p w14:paraId="151F06C6"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noProof/>
              </w:rPr>
              <w:drawing>
                <wp:inline distT="0" distB="0" distL="0" distR="0" wp14:anchorId="12D4AA4B" wp14:editId="0395C529">
                  <wp:extent cx="970278" cy="160650"/>
                  <wp:effectExtent l="0" t="0" r="1272"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70278" cy="160650"/>
                          </a:xfrm>
                          <a:prstGeom prst="rect">
                            <a:avLst/>
                          </a:prstGeom>
                          <a:noFill/>
                          <a:ln>
                            <a:noFill/>
                            <a:prstDash/>
                          </a:ln>
                        </pic:spPr>
                      </pic:pic>
                    </a:graphicData>
                  </a:graphic>
                </wp:inline>
              </w:drawing>
            </w:r>
          </w:p>
        </w:tc>
      </w:tr>
      <w:tr w:rsidR="00FC4C4C" w:rsidRPr="0099700A" w14:paraId="0F423E15" w14:textId="77777777" w:rsidTr="00724B51">
        <w:trPr>
          <w:trHeight w:val="311"/>
        </w:trPr>
        <w:tc>
          <w:tcPr>
            <w:tcW w:w="916" w:type="dxa"/>
            <w:tcBorders>
              <w:top w:val="single" w:sz="6" w:space="0" w:color="auto"/>
              <w:left w:val="single" w:sz="6" w:space="0" w:color="auto"/>
              <w:bottom w:val="single" w:sz="6" w:space="0" w:color="auto"/>
              <w:right w:val="single" w:sz="6" w:space="0" w:color="auto"/>
            </w:tcBorders>
          </w:tcPr>
          <w:p w14:paraId="3D1F2107"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WHITE</w:t>
            </w:r>
          </w:p>
        </w:tc>
        <w:tc>
          <w:tcPr>
            <w:tcW w:w="891" w:type="dxa"/>
            <w:tcBorders>
              <w:top w:val="single" w:sz="6" w:space="0" w:color="auto"/>
              <w:left w:val="single" w:sz="6" w:space="0" w:color="auto"/>
              <w:bottom w:val="single" w:sz="6" w:space="0" w:color="auto"/>
              <w:right w:val="single" w:sz="6" w:space="0" w:color="auto"/>
            </w:tcBorders>
            <w:shd w:val="clear" w:color="auto" w:fill="auto"/>
          </w:tcPr>
          <w:p w14:paraId="6E42DEF5"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10.4%</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16705FE8"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9.1%</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701C0758"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7.5%</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7E52A06B"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bCs/>
              </w:rPr>
              <w:t>6.6%</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42E126FA"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6.9%</w:t>
            </w:r>
          </w:p>
        </w:tc>
        <w:tc>
          <w:tcPr>
            <w:tcW w:w="893" w:type="dxa"/>
            <w:tcBorders>
              <w:top w:val="single" w:sz="6" w:space="0" w:color="auto"/>
              <w:left w:val="single" w:sz="6" w:space="0" w:color="auto"/>
              <w:bottom w:val="single" w:sz="6" w:space="0" w:color="auto"/>
              <w:right w:val="single" w:sz="6" w:space="0" w:color="auto"/>
            </w:tcBorders>
            <w:shd w:val="clear" w:color="auto" w:fill="auto"/>
          </w:tcPr>
          <w:p w14:paraId="52A11345"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7.6%</w:t>
            </w:r>
          </w:p>
        </w:tc>
        <w:tc>
          <w:tcPr>
            <w:tcW w:w="999" w:type="dxa"/>
            <w:tcBorders>
              <w:top w:val="single" w:sz="6" w:space="0" w:color="auto"/>
              <w:left w:val="single" w:sz="6" w:space="0" w:color="auto"/>
              <w:bottom w:val="single" w:sz="6" w:space="0" w:color="auto"/>
              <w:right w:val="single" w:sz="6" w:space="0" w:color="auto"/>
            </w:tcBorders>
            <w:shd w:val="clear" w:color="auto" w:fill="EEECE1"/>
          </w:tcPr>
          <w:p w14:paraId="086D1EBA"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rPr>
              <w:t>6.8%</w:t>
            </w:r>
          </w:p>
        </w:tc>
        <w:tc>
          <w:tcPr>
            <w:tcW w:w="1745" w:type="dxa"/>
            <w:tcBorders>
              <w:top w:val="single" w:sz="6" w:space="0" w:color="auto"/>
              <w:left w:val="single" w:sz="6" w:space="0" w:color="auto"/>
              <w:bottom w:val="single" w:sz="6" w:space="0" w:color="auto"/>
              <w:right w:val="single" w:sz="6" w:space="0" w:color="auto"/>
            </w:tcBorders>
          </w:tcPr>
          <w:p w14:paraId="5D40852F"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23B95511" wp14:editId="1801363C">
                  <wp:extent cx="970278" cy="222254"/>
                  <wp:effectExtent l="0" t="0" r="1272" b="6346"/>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70278" cy="222254"/>
                          </a:xfrm>
                          <a:prstGeom prst="rect">
                            <a:avLst/>
                          </a:prstGeom>
                          <a:noFill/>
                          <a:ln>
                            <a:noFill/>
                            <a:prstDash/>
                          </a:ln>
                        </pic:spPr>
                      </pic:pic>
                    </a:graphicData>
                  </a:graphic>
                </wp:inline>
              </w:drawing>
            </w:r>
          </w:p>
        </w:tc>
      </w:tr>
    </w:tbl>
    <w:p w14:paraId="7B547594"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rPr>
        <w:t>*</w:t>
      </w:r>
      <w:r w:rsidRPr="0099700A">
        <w:rPr>
          <w:rFonts w:ascii="Arial" w:eastAsia="Calibri" w:hAnsi="Arial" w:cs="Arial"/>
          <w:i/>
          <w:iCs/>
        </w:rPr>
        <w:t>Positive improvement for BME staff in 2022</w:t>
      </w:r>
    </w:p>
    <w:p w14:paraId="722FB9AE"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2BF33F6C" w14:textId="5A960FEF" w:rsidR="00FC4C4C" w:rsidRPr="0099700A" w:rsidRDefault="00FC4C4C" w:rsidP="00FC4C4C">
      <w:pPr>
        <w:pStyle w:val="ListParagraph"/>
        <w:numPr>
          <w:ilvl w:val="0"/>
          <w:numId w:val="2"/>
        </w:numPr>
        <w:autoSpaceDE w:val="0"/>
        <w:autoSpaceDN w:val="0"/>
        <w:adjustRightInd w:val="0"/>
        <w:rPr>
          <w:rFonts w:ascii="Arial" w:eastAsia="Calibri" w:hAnsi="Arial" w:cs="Arial"/>
          <w:sz w:val="22"/>
          <w:szCs w:val="22"/>
        </w:rPr>
      </w:pPr>
      <w:r w:rsidRPr="0099700A">
        <w:rPr>
          <w:rFonts w:ascii="Arial" w:eastAsia="Calibri" w:hAnsi="Arial" w:cs="Arial"/>
          <w:sz w:val="22"/>
          <w:szCs w:val="22"/>
        </w:rPr>
        <w:t>Indicator 8 shows a positive improvement from BME experience discrimination at work.</w:t>
      </w:r>
      <w:r>
        <w:rPr>
          <w:rFonts w:ascii="Arial" w:eastAsia="Calibri" w:hAnsi="Arial" w:cs="Arial"/>
          <w:sz w:val="22"/>
          <w:szCs w:val="22"/>
        </w:rPr>
        <w:t xml:space="preserve"> However, the is still higher than the national average and significantly higher </w:t>
      </w:r>
      <w:r w:rsidR="00FB6AAC">
        <w:rPr>
          <w:rFonts w:ascii="Arial" w:eastAsia="Calibri" w:hAnsi="Arial" w:cs="Arial"/>
          <w:sz w:val="22"/>
          <w:szCs w:val="22"/>
        </w:rPr>
        <w:t>than</w:t>
      </w:r>
      <w:r>
        <w:rPr>
          <w:rFonts w:ascii="Arial" w:eastAsia="Calibri" w:hAnsi="Arial" w:cs="Arial"/>
          <w:sz w:val="22"/>
          <w:szCs w:val="22"/>
        </w:rPr>
        <w:t xml:space="preserve"> the proportion of white staff.</w:t>
      </w:r>
    </w:p>
    <w:p w14:paraId="2DD4EBC6"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5C65E717"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lastRenderedPageBreak/>
        <w:t>WRES Indicator 9</w:t>
      </w:r>
      <w:r w:rsidRPr="0099700A">
        <w:rPr>
          <w:rFonts w:ascii="Arial" w:eastAsia="Calibri" w:hAnsi="Arial" w:cs="Arial"/>
        </w:rPr>
        <w:t xml:space="preserve"> - compare the difference for white and BME staff: Percentage difference between (</w:t>
      </w:r>
      <w:proofErr w:type="spellStart"/>
      <w:r w:rsidRPr="0099700A">
        <w:rPr>
          <w:rFonts w:ascii="Arial" w:eastAsia="Calibri" w:hAnsi="Arial" w:cs="Arial"/>
        </w:rPr>
        <w:t>i</w:t>
      </w:r>
      <w:proofErr w:type="spellEnd"/>
      <w:r w:rsidRPr="0099700A">
        <w:rPr>
          <w:rFonts w:ascii="Arial" w:eastAsia="Calibri" w:hAnsi="Arial" w:cs="Arial"/>
        </w:rPr>
        <w:t>) the organisations’ Board voting membership and its overall workforce and (ii) the organisations’ Board executive membership and its overall workforce.</w:t>
      </w:r>
    </w:p>
    <w:tbl>
      <w:tblPr>
        <w:tblStyle w:val="TableGrid1"/>
        <w:tblW w:w="0" w:type="auto"/>
        <w:tblLook w:val="04A0" w:firstRow="1" w:lastRow="0" w:firstColumn="1" w:lastColumn="0" w:noHBand="0" w:noVBand="1"/>
      </w:tblPr>
      <w:tblGrid>
        <w:gridCol w:w="1921"/>
        <w:gridCol w:w="1805"/>
        <w:gridCol w:w="1805"/>
        <w:gridCol w:w="1805"/>
        <w:gridCol w:w="1680"/>
      </w:tblGrid>
      <w:tr w:rsidR="00FC4C4C" w:rsidRPr="0099700A" w14:paraId="27CBFE09" w14:textId="77777777" w:rsidTr="00724B51">
        <w:tc>
          <w:tcPr>
            <w:tcW w:w="1921" w:type="dxa"/>
          </w:tcPr>
          <w:p w14:paraId="4C5F473B" w14:textId="77777777" w:rsidR="00FC4C4C" w:rsidRPr="0099700A" w:rsidRDefault="00FC4C4C" w:rsidP="00724B51">
            <w:pPr>
              <w:autoSpaceDE w:val="0"/>
              <w:autoSpaceDN w:val="0"/>
              <w:adjustRightInd w:val="0"/>
              <w:rPr>
                <w:rFonts w:ascii="Arial" w:eastAsia="Calibri" w:hAnsi="Arial" w:cs="Arial"/>
              </w:rPr>
            </w:pPr>
          </w:p>
        </w:tc>
        <w:tc>
          <w:tcPr>
            <w:tcW w:w="1805" w:type="dxa"/>
          </w:tcPr>
          <w:p w14:paraId="7E3C6F28"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805" w:type="dxa"/>
          </w:tcPr>
          <w:p w14:paraId="6F8151B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805" w:type="dxa"/>
          </w:tcPr>
          <w:p w14:paraId="4F296B0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1680" w:type="dxa"/>
          </w:tcPr>
          <w:p w14:paraId="02FC656F"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2023</w:t>
            </w:r>
          </w:p>
        </w:tc>
      </w:tr>
      <w:tr w:rsidR="00FC4C4C" w:rsidRPr="0099700A" w14:paraId="6B2DB679" w14:textId="77777777" w:rsidTr="00724B51">
        <w:tc>
          <w:tcPr>
            <w:tcW w:w="1921" w:type="dxa"/>
          </w:tcPr>
          <w:p w14:paraId="57DD6747"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White</w:t>
            </w:r>
          </w:p>
        </w:tc>
        <w:tc>
          <w:tcPr>
            <w:tcW w:w="1805" w:type="dxa"/>
          </w:tcPr>
          <w:p w14:paraId="63CFEEA0"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16</w:t>
            </w:r>
          </w:p>
        </w:tc>
        <w:tc>
          <w:tcPr>
            <w:tcW w:w="1805" w:type="dxa"/>
          </w:tcPr>
          <w:p w14:paraId="3B02562E"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15</w:t>
            </w:r>
          </w:p>
        </w:tc>
        <w:tc>
          <w:tcPr>
            <w:tcW w:w="1805" w:type="dxa"/>
          </w:tcPr>
          <w:p w14:paraId="63B0E552"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14</w:t>
            </w:r>
          </w:p>
        </w:tc>
        <w:tc>
          <w:tcPr>
            <w:tcW w:w="1680" w:type="dxa"/>
          </w:tcPr>
          <w:p w14:paraId="145A66FD"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14</w:t>
            </w:r>
          </w:p>
        </w:tc>
      </w:tr>
      <w:tr w:rsidR="00FC4C4C" w:rsidRPr="0099700A" w14:paraId="6238FA82" w14:textId="77777777" w:rsidTr="00724B51">
        <w:tc>
          <w:tcPr>
            <w:tcW w:w="1921" w:type="dxa"/>
            <w:shd w:val="clear" w:color="auto" w:fill="EEECE1"/>
          </w:tcPr>
          <w:p w14:paraId="53BE337F"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BME</w:t>
            </w:r>
          </w:p>
        </w:tc>
        <w:tc>
          <w:tcPr>
            <w:tcW w:w="1805" w:type="dxa"/>
            <w:shd w:val="clear" w:color="auto" w:fill="EEECE1"/>
          </w:tcPr>
          <w:p w14:paraId="42CA6C93"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0</w:t>
            </w:r>
          </w:p>
        </w:tc>
        <w:tc>
          <w:tcPr>
            <w:tcW w:w="1805" w:type="dxa"/>
            <w:shd w:val="clear" w:color="auto" w:fill="EEECE1"/>
          </w:tcPr>
          <w:p w14:paraId="6AB40A48"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1</w:t>
            </w:r>
          </w:p>
        </w:tc>
        <w:tc>
          <w:tcPr>
            <w:tcW w:w="1805" w:type="dxa"/>
            <w:shd w:val="clear" w:color="auto" w:fill="EEECE1"/>
          </w:tcPr>
          <w:p w14:paraId="17FB65EB"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2</w:t>
            </w:r>
          </w:p>
        </w:tc>
        <w:tc>
          <w:tcPr>
            <w:tcW w:w="1680" w:type="dxa"/>
            <w:shd w:val="clear" w:color="auto" w:fill="EEECE1"/>
          </w:tcPr>
          <w:p w14:paraId="2281A238"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2</w:t>
            </w:r>
          </w:p>
        </w:tc>
      </w:tr>
      <w:tr w:rsidR="00FC4C4C" w:rsidRPr="0099700A" w14:paraId="475E57AC" w14:textId="77777777" w:rsidTr="00724B51">
        <w:tc>
          <w:tcPr>
            <w:tcW w:w="1921" w:type="dxa"/>
          </w:tcPr>
          <w:p w14:paraId="3EEF47F6"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 xml:space="preserve">Unknown </w:t>
            </w:r>
          </w:p>
        </w:tc>
        <w:tc>
          <w:tcPr>
            <w:tcW w:w="1805" w:type="dxa"/>
          </w:tcPr>
          <w:p w14:paraId="7CA87012"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0</w:t>
            </w:r>
          </w:p>
        </w:tc>
        <w:tc>
          <w:tcPr>
            <w:tcW w:w="1805" w:type="dxa"/>
          </w:tcPr>
          <w:p w14:paraId="64E05C38"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0</w:t>
            </w:r>
          </w:p>
        </w:tc>
        <w:tc>
          <w:tcPr>
            <w:tcW w:w="1805" w:type="dxa"/>
          </w:tcPr>
          <w:p w14:paraId="0E3ECFF3"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1</w:t>
            </w:r>
          </w:p>
        </w:tc>
        <w:tc>
          <w:tcPr>
            <w:tcW w:w="1680" w:type="dxa"/>
          </w:tcPr>
          <w:p w14:paraId="1ABC5D92"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1</w:t>
            </w:r>
          </w:p>
        </w:tc>
      </w:tr>
    </w:tbl>
    <w:p w14:paraId="09562CB7"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49FE2A0B" w14:textId="77777777" w:rsidR="00FC4C4C" w:rsidRPr="0099700A" w:rsidRDefault="00FC4C4C" w:rsidP="00FC4C4C">
      <w:pPr>
        <w:autoSpaceDE w:val="0"/>
        <w:autoSpaceDN w:val="0"/>
        <w:adjustRightInd w:val="0"/>
        <w:spacing w:after="0" w:line="240" w:lineRule="auto"/>
        <w:rPr>
          <w:rFonts w:ascii="Arial" w:eastAsia="Calibri" w:hAnsi="Arial" w:cs="Arial"/>
          <w:b/>
          <w:bCs/>
        </w:rPr>
      </w:pPr>
    </w:p>
    <w:p w14:paraId="369FBF5D" w14:textId="77777777" w:rsidR="00FC4C4C" w:rsidRDefault="00FC4C4C" w:rsidP="00FC4C4C">
      <w:pPr>
        <w:pStyle w:val="ListParagraph"/>
        <w:numPr>
          <w:ilvl w:val="0"/>
          <w:numId w:val="6"/>
        </w:numPr>
        <w:autoSpaceDE w:val="0"/>
        <w:autoSpaceDN w:val="0"/>
        <w:adjustRightInd w:val="0"/>
        <w:rPr>
          <w:rFonts w:ascii="Arial" w:eastAsia="Calibri" w:hAnsi="Arial" w:cs="Arial"/>
          <w:sz w:val="22"/>
          <w:szCs w:val="22"/>
        </w:rPr>
      </w:pPr>
      <w:r w:rsidRPr="0099700A">
        <w:rPr>
          <w:rFonts w:ascii="Arial" w:eastAsia="Calibri" w:hAnsi="Arial" w:cs="Arial"/>
          <w:sz w:val="22"/>
          <w:szCs w:val="22"/>
        </w:rPr>
        <w:t xml:space="preserve">2023 remains the same as 2022, this will see a decline for 2024 which known leavers in this financial year. However, the </w:t>
      </w:r>
      <w:r>
        <w:rPr>
          <w:rFonts w:ascii="Arial" w:eastAsia="Calibri" w:hAnsi="Arial" w:cs="Arial"/>
          <w:sz w:val="22"/>
          <w:szCs w:val="22"/>
        </w:rPr>
        <w:t xml:space="preserve">planned </w:t>
      </w:r>
      <w:r w:rsidRPr="0099700A">
        <w:rPr>
          <w:rFonts w:ascii="Arial" w:eastAsia="Calibri" w:hAnsi="Arial" w:cs="Arial"/>
          <w:sz w:val="22"/>
          <w:szCs w:val="22"/>
        </w:rPr>
        <w:t xml:space="preserve">recruitment </w:t>
      </w:r>
      <w:r>
        <w:rPr>
          <w:rFonts w:ascii="Arial" w:eastAsia="Calibri" w:hAnsi="Arial" w:cs="Arial"/>
          <w:sz w:val="22"/>
          <w:szCs w:val="22"/>
        </w:rPr>
        <w:t>of two</w:t>
      </w:r>
      <w:r w:rsidRPr="0099700A">
        <w:rPr>
          <w:rFonts w:ascii="Arial" w:eastAsia="Calibri" w:hAnsi="Arial" w:cs="Arial"/>
          <w:sz w:val="22"/>
          <w:szCs w:val="22"/>
        </w:rPr>
        <w:t xml:space="preserve"> associate non-executive director</w:t>
      </w:r>
      <w:r>
        <w:rPr>
          <w:rFonts w:ascii="Arial" w:eastAsia="Calibri" w:hAnsi="Arial" w:cs="Arial"/>
          <w:sz w:val="22"/>
          <w:szCs w:val="22"/>
        </w:rPr>
        <w:t>s</w:t>
      </w:r>
      <w:r w:rsidRPr="0099700A">
        <w:rPr>
          <w:rFonts w:ascii="Arial" w:eastAsia="Calibri" w:hAnsi="Arial" w:cs="Arial"/>
          <w:sz w:val="22"/>
          <w:szCs w:val="22"/>
        </w:rPr>
        <w:t xml:space="preserve"> will support the representation at board level</w:t>
      </w:r>
      <w:r>
        <w:rPr>
          <w:rFonts w:ascii="Arial" w:eastAsia="Calibri" w:hAnsi="Arial" w:cs="Arial"/>
          <w:sz w:val="22"/>
          <w:szCs w:val="22"/>
        </w:rPr>
        <w:t xml:space="preserve"> and begin to build a diverse talent pipeline</w:t>
      </w:r>
      <w:r w:rsidRPr="0099700A">
        <w:rPr>
          <w:rFonts w:ascii="Arial" w:eastAsia="Calibri" w:hAnsi="Arial" w:cs="Arial"/>
          <w:sz w:val="22"/>
          <w:szCs w:val="22"/>
        </w:rPr>
        <w:t>.</w:t>
      </w:r>
    </w:p>
    <w:p w14:paraId="297D24AF" w14:textId="77777777" w:rsidR="00FC4C4C" w:rsidRDefault="00FC4C4C" w:rsidP="00FC4C4C">
      <w:pPr>
        <w:pStyle w:val="ListParagraph"/>
        <w:autoSpaceDE w:val="0"/>
        <w:autoSpaceDN w:val="0"/>
        <w:adjustRightInd w:val="0"/>
        <w:rPr>
          <w:rFonts w:ascii="Arial" w:eastAsia="Calibri" w:hAnsi="Arial" w:cs="Arial"/>
          <w:sz w:val="22"/>
          <w:szCs w:val="22"/>
        </w:rPr>
      </w:pPr>
    </w:p>
    <w:p w14:paraId="40F51581" w14:textId="77777777" w:rsidR="00FC4C4C" w:rsidRPr="00650157" w:rsidRDefault="00FC4C4C" w:rsidP="00FC4C4C">
      <w:pPr>
        <w:rPr>
          <w:rFonts w:ascii="Arial" w:hAnsi="Arial" w:cs="Arial"/>
          <w:b/>
          <w:bCs/>
        </w:rPr>
      </w:pPr>
      <w:r w:rsidRPr="00650157">
        <w:rPr>
          <w:rFonts w:ascii="Arial" w:hAnsi="Arial" w:cs="Arial"/>
          <w:b/>
          <w:bCs/>
        </w:rPr>
        <w:t>Action Plan</w:t>
      </w:r>
    </w:p>
    <w:p w14:paraId="1546DE17" w14:textId="77777777" w:rsidR="00FC4C4C" w:rsidRDefault="00FC4C4C" w:rsidP="00FC4C4C">
      <w:pPr>
        <w:autoSpaceDE w:val="0"/>
        <w:autoSpaceDN w:val="0"/>
        <w:adjustRightInd w:val="0"/>
        <w:rPr>
          <w:rFonts w:ascii="Arial" w:hAnsi="Arial" w:cs="Arial"/>
        </w:rPr>
      </w:pPr>
      <w:r>
        <w:rPr>
          <w:rFonts w:ascii="Arial" w:eastAsia="Calibri" w:hAnsi="Arial" w:cs="Arial"/>
        </w:rPr>
        <w:t xml:space="preserve">The WRES action plan (appendix 6) </w:t>
      </w:r>
      <w:r>
        <w:rPr>
          <w:rFonts w:ascii="Arial" w:hAnsi="Arial" w:cs="Arial"/>
        </w:rPr>
        <w:t>highlights the objective, supporting data, actions currently in place and future actions. It also provides a RAG rating for the actions relating to each metric. The majority of the 23/24 actions are currently amber.</w:t>
      </w:r>
    </w:p>
    <w:p w14:paraId="5AC2E53B" w14:textId="77777777" w:rsidR="00FC4C4C" w:rsidRDefault="00FC4C4C" w:rsidP="00FC4C4C">
      <w:pPr>
        <w:autoSpaceDE w:val="0"/>
        <w:autoSpaceDN w:val="0"/>
        <w:adjustRightInd w:val="0"/>
        <w:rPr>
          <w:rFonts w:ascii="Arial" w:hAnsi="Arial" w:cs="Arial"/>
        </w:rPr>
      </w:pPr>
      <w:r>
        <w:rPr>
          <w:rFonts w:ascii="Arial" w:hAnsi="Arial" w:cs="Arial"/>
        </w:rPr>
        <w:t>Key action for 23/24 include:</w:t>
      </w:r>
    </w:p>
    <w:p w14:paraId="01E0F037" w14:textId="77777777" w:rsidR="00FC4C4C" w:rsidRDefault="00FC4C4C" w:rsidP="00FC4C4C">
      <w:pPr>
        <w:pStyle w:val="ListParagraph"/>
        <w:numPr>
          <w:ilvl w:val="0"/>
          <w:numId w:val="2"/>
        </w:numPr>
        <w:autoSpaceDE w:val="0"/>
        <w:autoSpaceDN w:val="0"/>
        <w:adjustRightInd w:val="0"/>
        <w:rPr>
          <w:rFonts w:ascii="Arial" w:eastAsia="Calibri" w:hAnsi="Arial" w:cs="Arial"/>
          <w:sz w:val="22"/>
          <w:szCs w:val="22"/>
        </w:rPr>
      </w:pPr>
      <w:r w:rsidRPr="00650157">
        <w:rPr>
          <w:rFonts w:ascii="Arial" w:eastAsia="Calibri" w:hAnsi="Arial" w:cs="Arial"/>
          <w:sz w:val="22"/>
          <w:szCs w:val="22"/>
        </w:rPr>
        <w:t>Recruitment of two Associate NED roles</w:t>
      </w:r>
    </w:p>
    <w:p w14:paraId="2D6C110C" w14:textId="77777777" w:rsidR="00FC4C4C" w:rsidRDefault="00FC4C4C" w:rsidP="00FC4C4C">
      <w:pPr>
        <w:pStyle w:val="ListParagraph"/>
        <w:numPr>
          <w:ilvl w:val="0"/>
          <w:numId w:val="2"/>
        </w:numPr>
        <w:autoSpaceDE w:val="0"/>
        <w:autoSpaceDN w:val="0"/>
        <w:adjustRightInd w:val="0"/>
        <w:rPr>
          <w:rFonts w:ascii="Arial" w:eastAsia="Calibri" w:hAnsi="Arial" w:cs="Arial"/>
          <w:sz w:val="22"/>
          <w:szCs w:val="22"/>
        </w:rPr>
      </w:pPr>
      <w:r>
        <w:rPr>
          <w:rFonts w:ascii="Arial" w:eastAsia="Calibri" w:hAnsi="Arial" w:cs="Arial"/>
          <w:sz w:val="22"/>
          <w:szCs w:val="22"/>
        </w:rPr>
        <w:t>Recruitment of coaches across the Trust</w:t>
      </w:r>
    </w:p>
    <w:p w14:paraId="25D6D381" w14:textId="77777777" w:rsidR="00FC4C4C" w:rsidRDefault="00FC4C4C" w:rsidP="00FC4C4C">
      <w:pPr>
        <w:pStyle w:val="ListParagraph"/>
        <w:numPr>
          <w:ilvl w:val="0"/>
          <w:numId w:val="2"/>
        </w:numPr>
        <w:autoSpaceDE w:val="0"/>
        <w:autoSpaceDN w:val="0"/>
        <w:adjustRightInd w:val="0"/>
        <w:rPr>
          <w:rFonts w:ascii="Arial" w:eastAsia="Calibri" w:hAnsi="Arial" w:cs="Arial"/>
          <w:sz w:val="22"/>
          <w:szCs w:val="22"/>
        </w:rPr>
      </w:pPr>
      <w:r>
        <w:rPr>
          <w:rFonts w:ascii="Arial" w:eastAsia="Calibri" w:hAnsi="Arial" w:cs="Arial"/>
          <w:sz w:val="22"/>
          <w:szCs w:val="22"/>
        </w:rPr>
        <w:t>Introduction of Manager Fundamental Training</w:t>
      </w:r>
    </w:p>
    <w:p w14:paraId="3D7CB3AF" w14:textId="77777777" w:rsidR="00FC4C4C" w:rsidRPr="00650157" w:rsidRDefault="00FC4C4C" w:rsidP="00FC4C4C">
      <w:pPr>
        <w:pStyle w:val="ListParagraph"/>
        <w:numPr>
          <w:ilvl w:val="0"/>
          <w:numId w:val="2"/>
        </w:numPr>
        <w:autoSpaceDE w:val="0"/>
        <w:autoSpaceDN w:val="0"/>
        <w:adjustRightInd w:val="0"/>
        <w:rPr>
          <w:rFonts w:ascii="Arial" w:eastAsia="Calibri" w:hAnsi="Arial" w:cs="Arial"/>
          <w:sz w:val="22"/>
          <w:szCs w:val="22"/>
        </w:rPr>
        <w:sectPr w:rsidR="00FC4C4C" w:rsidRPr="00650157">
          <w:pgSz w:w="11906" w:h="16838"/>
          <w:pgMar w:top="1440" w:right="1440" w:bottom="1440" w:left="1440" w:header="708" w:footer="708" w:gutter="0"/>
          <w:cols w:space="708"/>
          <w:docGrid w:linePitch="360"/>
        </w:sectPr>
      </w:pPr>
      <w:r>
        <w:rPr>
          <w:rFonts w:ascii="Arial" w:eastAsia="Calibri" w:hAnsi="Arial" w:cs="Arial"/>
          <w:sz w:val="22"/>
          <w:szCs w:val="22"/>
        </w:rPr>
        <w:t>Continued promotion of ‘No excuse for Abuse’ campaign</w:t>
      </w:r>
    </w:p>
    <w:p w14:paraId="43A71765" w14:textId="77777777" w:rsidR="00FC4C4C" w:rsidRPr="00FC4C4C" w:rsidRDefault="00FC4C4C" w:rsidP="00FC4C4C">
      <w:pPr>
        <w:rPr>
          <w:rFonts w:ascii="Arial" w:hAnsi="Arial" w:cs="Arial"/>
          <w:b/>
          <w:bCs/>
          <w:spacing w:val="-10"/>
          <w:kern w:val="28"/>
        </w:rPr>
      </w:pPr>
      <w:r w:rsidRPr="00FC4C4C">
        <w:rPr>
          <w:rFonts w:ascii="Arial" w:hAnsi="Arial" w:cs="Arial"/>
          <w:b/>
          <w:bCs/>
          <w:spacing w:val="-10"/>
          <w:kern w:val="28"/>
        </w:rPr>
        <w:lastRenderedPageBreak/>
        <w:t>NHS Workforce Disability Equality Standard (WRES)</w:t>
      </w:r>
    </w:p>
    <w:p w14:paraId="3FE8422E" w14:textId="77777777" w:rsidR="00FC4C4C" w:rsidRPr="00FC4C4C" w:rsidRDefault="00FC4C4C" w:rsidP="00FC4C4C">
      <w:pPr>
        <w:autoSpaceDE w:val="0"/>
        <w:autoSpaceDN w:val="0"/>
        <w:adjustRightInd w:val="0"/>
        <w:rPr>
          <w:rFonts w:ascii="Arial" w:eastAsia="Calibri" w:hAnsi="Arial" w:cs="Arial"/>
        </w:rPr>
      </w:pPr>
      <w:r w:rsidRPr="00FC4C4C">
        <w:rPr>
          <w:rFonts w:ascii="Arial" w:hAnsi="Arial" w:cs="Arial"/>
        </w:rPr>
        <w:t>The Workforce Disability Equality Standard (WDES) is a set of ten specific measures (metrics) which enables NHS organisations to compare the workplace and career experiences of disabled and non-disabled staff. NHS organisations use the metrics data to develop and publish an action plan. Year on year comparison enables NHS organisations to demonstrate progress against the indicators of disability equality.</w:t>
      </w:r>
    </w:p>
    <w:p w14:paraId="21EE13A7" w14:textId="77777777" w:rsidR="00FC4C4C" w:rsidRPr="0099700A" w:rsidRDefault="00FC4C4C" w:rsidP="00FC4C4C">
      <w:pPr>
        <w:spacing w:after="225" w:line="240" w:lineRule="auto"/>
        <w:textAlignment w:val="baseline"/>
        <w:rPr>
          <w:rFonts w:ascii="Arial" w:eastAsia="Times New Roman" w:hAnsi="Arial" w:cs="Arial"/>
          <w:lang w:eastAsia="en-GB"/>
        </w:rPr>
      </w:pPr>
      <w:r w:rsidRPr="0099700A">
        <w:rPr>
          <w:rFonts w:ascii="Arial" w:eastAsia="Times New Roman" w:hAnsi="Arial" w:cs="Arial"/>
          <w:lang w:eastAsia="en-GB"/>
        </w:rPr>
        <w:t xml:space="preserve">The WDES is important, because research shows that a motivated, </w:t>
      </w:r>
      <w:proofErr w:type="gramStart"/>
      <w:r w:rsidRPr="0099700A">
        <w:rPr>
          <w:rFonts w:ascii="Arial" w:eastAsia="Times New Roman" w:hAnsi="Arial" w:cs="Arial"/>
          <w:lang w:eastAsia="en-GB"/>
        </w:rPr>
        <w:t>included</w:t>
      </w:r>
      <w:proofErr w:type="gramEnd"/>
      <w:r w:rsidRPr="0099700A">
        <w:rPr>
          <w:rFonts w:ascii="Arial" w:eastAsia="Times New Roman" w:hAnsi="Arial" w:cs="Arial"/>
          <w:lang w:eastAsia="en-GB"/>
        </w:rPr>
        <w:t xml:space="preserve"> and valued workforce helps to deliver high quality patient care, increased patient satisfaction and improved patient safety.</w:t>
      </w:r>
    </w:p>
    <w:p w14:paraId="4574AFAE" w14:textId="77777777" w:rsidR="00FC4C4C" w:rsidRPr="0099700A" w:rsidRDefault="00FC4C4C" w:rsidP="00FC4C4C">
      <w:pPr>
        <w:spacing w:after="225" w:line="240" w:lineRule="auto"/>
        <w:textAlignment w:val="baseline"/>
        <w:rPr>
          <w:rFonts w:ascii="Arial" w:eastAsia="Times New Roman" w:hAnsi="Arial" w:cs="Arial"/>
          <w:lang w:eastAsia="en-GB"/>
        </w:rPr>
      </w:pPr>
      <w:r w:rsidRPr="0099700A">
        <w:rPr>
          <w:rFonts w:ascii="Arial" w:eastAsia="Times New Roman" w:hAnsi="Arial" w:cs="Arial"/>
          <w:lang w:eastAsia="en-GB"/>
        </w:rPr>
        <w:t>The WDES enables NHS organisations to better understand the experiences of their disabled staff and supports positive change for all staff by creating a more inclusive environment for disabled people working and seeking employment in the NHS.</w:t>
      </w:r>
    </w:p>
    <w:p w14:paraId="28848107" w14:textId="77777777" w:rsidR="00FC4C4C" w:rsidRDefault="00FC4C4C" w:rsidP="00FC4C4C">
      <w:pPr>
        <w:autoSpaceDE w:val="0"/>
        <w:autoSpaceDN w:val="0"/>
        <w:adjustRightInd w:val="0"/>
        <w:spacing w:after="0" w:line="240" w:lineRule="auto"/>
        <w:rPr>
          <w:rFonts w:ascii="Arial" w:eastAsia="Calibri" w:hAnsi="Arial" w:cs="Arial"/>
          <w:shd w:val="clear" w:color="auto" w:fill="FFFFFF"/>
        </w:rPr>
      </w:pPr>
      <w:r w:rsidRPr="0099700A">
        <w:rPr>
          <w:rFonts w:ascii="Arial" w:eastAsia="Calibri" w:hAnsi="Arial" w:cs="Arial"/>
          <w:shd w:val="clear" w:color="auto" w:fill="FFFFFF"/>
        </w:rPr>
        <w:t>National healthcare organisations are not mandated by the WDES but may report metrics data and publish WDES annual reports in the spirit of transparency.</w:t>
      </w:r>
    </w:p>
    <w:p w14:paraId="7E56A2B6" w14:textId="77777777" w:rsidR="00FC4C4C" w:rsidRDefault="00FC4C4C" w:rsidP="00FC4C4C">
      <w:pPr>
        <w:autoSpaceDE w:val="0"/>
        <w:autoSpaceDN w:val="0"/>
        <w:adjustRightInd w:val="0"/>
        <w:spacing w:after="0" w:line="240" w:lineRule="auto"/>
        <w:rPr>
          <w:rFonts w:ascii="Arial" w:eastAsia="Calibri" w:hAnsi="Arial" w:cs="Arial"/>
          <w:shd w:val="clear" w:color="auto" w:fill="FFFFFF"/>
        </w:rPr>
      </w:pPr>
    </w:p>
    <w:p w14:paraId="5CAD10A8" w14:textId="77777777" w:rsidR="00FC4C4C" w:rsidRPr="00602C24" w:rsidRDefault="00FC4C4C" w:rsidP="00FC4C4C">
      <w:pPr>
        <w:autoSpaceDE w:val="0"/>
        <w:autoSpaceDN w:val="0"/>
        <w:adjustRightInd w:val="0"/>
        <w:spacing w:after="0" w:line="240" w:lineRule="auto"/>
        <w:rPr>
          <w:rFonts w:ascii="Arial" w:eastAsia="Calibri" w:hAnsi="Arial" w:cs="Arial"/>
          <w:b/>
          <w:bCs/>
        </w:rPr>
      </w:pPr>
      <w:r w:rsidRPr="00602C24">
        <w:rPr>
          <w:rFonts w:ascii="Arial" w:eastAsia="Calibri" w:hAnsi="Arial" w:cs="Arial"/>
          <w:b/>
          <w:bCs/>
          <w:shd w:val="clear" w:color="auto" w:fill="FFFFFF"/>
        </w:rPr>
        <w:t>WRES Results for 2022/23</w:t>
      </w:r>
    </w:p>
    <w:p w14:paraId="7664F6A3"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1A56C3DA" w14:textId="77777777" w:rsidR="00FC4C4C" w:rsidRPr="00407B49" w:rsidRDefault="00FC4C4C" w:rsidP="00FC4C4C">
      <w:pPr>
        <w:autoSpaceDE w:val="0"/>
        <w:autoSpaceDN w:val="0"/>
        <w:adjustRightInd w:val="0"/>
        <w:spacing w:after="0" w:line="240" w:lineRule="auto"/>
        <w:rPr>
          <w:rFonts w:ascii="Arial" w:eastAsia="Calibri" w:hAnsi="Arial" w:cs="Arial"/>
          <w:color w:val="202A30"/>
          <w:shd w:val="clear" w:color="auto" w:fill="FFFFFF"/>
        </w:rPr>
      </w:pPr>
      <w:r w:rsidRPr="0099700A">
        <w:rPr>
          <w:rFonts w:ascii="Arial" w:eastAsia="Calibri" w:hAnsi="Arial" w:cs="Arial"/>
          <w:b/>
          <w:bCs/>
          <w:color w:val="202A30"/>
          <w:bdr w:val="none" w:sz="0" w:space="0" w:color="auto" w:frame="1"/>
          <w:shd w:val="clear" w:color="auto" w:fill="FFFFFF"/>
        </w:rPr>
        <w:t>WDES Indicator 1</w:t>
      </w:r>
      <w:r w:rsidRPr="0099700A">
        <w:rPr>
          <w:rFonts w:ascii="Arial" w:eastAsia="Calibri" w:hAnsi="Arial" w:cs="Arial"/>
          <w:color w:val="202A30"/>
          <w:bdr w:val="none" w:sz="0" w:space="0" w:color="auto" w:frame="1"/>
          <w:shd w:val="clear" w:color="auto" w:fill="FFFFFF"/>
        </w:rPr>
        <w:t xml:space="preserve"> - Percentage of staff in Agenda for Change (</w:t>
      </w:r>
      <w:proofErr w:type="spellStart"/>
      <w:r w:rsidRPr="0099700A">
        <w:rPr>
          <w:rFonts w:ascii="Arial" w:eastAsia="Calibri" w:hAnsi="Arial" w:cs="Arial"/>
          <w:color w:val="202A30"/>
          <w:bdr w:val="none" w:sz="0" w:space="0" w:color="auto" w:frame="1"/>
          <w:shd w:val="clear" w:color="auto" w:fill="FFFFFF"/>
        </w:rPr>
        <w:t>AfC</w:t>
      </w:r>
      <w:proofErr w:type="spellEnd"/>
      <w:r w:rsidRPr="0099700A">
        <w:rPr>
          <w:rFonts w:ascii="Arial" w:eastAsia="Calibri" w:hAnsi="Arial" w:cs="Arial"/>
          <w:color w:val="202A30"/>
          <w:bdr w:val="none" w:sz="0" w:space="0" w:color="auto" w:frame="1"/>
          <w:shd w:val="clear" w:color="auto" w:fill="FFFFFF"/>
        </w:rPr>
        <w:t>) pay-bands or medical and dental subgroups and very senior managers (including Executive Board members) compared with the percentage of staff in the overall workforce</w:t>
      </w:r>
      <w:r>
        <w:rPr>
          <w:rFonts w:ascii="Arial" w:eastAsia="Calibri" w:hAnsi="Arial" w:cs="Arial"/>
          <w:b/>
          <w:bCs/>
          <w:color w:val="202A30"/>
          <w:shd w:val="clear" w:color="auto" w:fill="FFFFFF"/>
        </w:rPr>
        <w:t xml:space="preserve"> </w:t>
      </w:r>
      <w:r>
        <w:rPr>
          <w:rFonts w:ascii="Arial" w:eastAsia="Calibri" w:hAnsi="Arial" w:cs="Arial"/>
          <w:color w:val="202A30"/>
          <w:shd w:val="clear" w:color="auto" w:fill="FFFFFF"/>
        </w:rPr>
        <w:t>(Appendix 7).</w:t>
      </w:r>
    </w:p>
    <w:p w14:paraId="0DA446C2" w14:textId="77777777" w:rsidR="00FC4C4C" w:rsidRPr="0099700A" w:rsidRDefault="00FC4C4C" w:rsidP="00FC4C4C">
      <w:pPr>
        <w:autoSpaceDE w:val="0"/>
        <w:autoSpaceDN w:val="0"/>
        <w:adjustRightInd w:val="0"/>
        <w:spacing w:after="0" w:line="240" w:lineRule="auto"/>
        <w:rPr>
          <w:rFonts w:ascii="Arial" w:eastAsia="Calibri" w:hAnsi="Arial" w:cs="Arial"/>
          <w:b/>
          <w:bCs/>
          <w:color w:val="202A30"/>
          <w:shd w:val="clear" w:color="auto" w:fill="FFFFFF"/>
        </w:rPr>
      </w:pPr>
    </w:p>
    <w:p w14:paraId="723B3BAB" w14:textId="77777777" w:rsidR="00FC4C4C" w:rsidRPr="0099700A" w:rsidRDefault="00FC4C4C" w:rsidP="00FC4C4C">
      <w:pPr>
        <w:pStyle w:val="ListParagraph"/>
        <w:numPr>
          <w:ilvl w:val="0"/>
          <w:numId w:val="9"/>
        </w:numPr>
        <w:autoSpaceDE w:val="0"/>
        <w:autoSpaceDN w:val="0"/>
        <w:adjustRightInd w:val="0"/>
        <w:rPr>
          <w:rFonts w:ascii="Arial" w:eastAsia="Calibri" w:hAnsi="Arial" w:cs="Arial"/>
          <w:color w:val="202A30"/>
          <w:sz w:val="22"/>
          <w:szCs w:val="22"/>
          <w:shd w:val="clear" w:color="auto" w:fill="FFFFFF"/>
        </w:rPr>
      </w:pPr>
      <w:r w:rsidRPr="0099700A">
        <w:rPr>
          <w:rFonts w:ascii="Arial" w:eastAsia="Calibri" w:hAnsi="Arial" w:cs="Arial"/>
          <w:color w:val="202A30"/>
          <w:sz w:val="22"/>
          <w:szCs w:val="22"/>
          <w:shd w:val="clear" w:color="auto" w:fill="FFFFFF"/>
        </w:rPr>
        <w:t>A positive improvement in unknown data, demonstrating how staff are confident in updating their personal data, showing</w:t>
      </w:r>
      <w:r>
        <w:rPr>
          <w:rFonts w:ascii="Arial" w:eastAsia="Calibri" w:hAnsi="Arial" w:cs="Arial"/>
          <w:color w:val="202A30"/>
          <w:sz w:val="22"/>
          <w:szCs w:val="22"/>
          <w:shd w:val="clear" w:color="auto" w:fill="FFFFFF"/>
        </w:rPr>
        <w:t xml:space="preserve"> a decrease of </w:t>
      </w:r>
      <w:r w:rsidRPr="0099700A">
        <w:rPr>
          <w:rFonts w:ascii="Arial" w:eastAsia="Calibri" w:hAnsi="Arial" w:cs="Arial"/>
          <w:color w:val="202A30"/>
          <w:sz w:val="22"/>
          <w:szCs w:val="22"/>
          <w:shd w:val="clear" w:color="auto" w:fill="FFFFFF"/>
        </w:rPr>
        <w:t>5.5%</w:t>
      </w:r>
      <w:r>
        <w:rPr>
          <w:rFonts w:ascii="Arial" w:eastAsia="Calibri" w:hAnsi="Arial" w:cs="Arial"/>
          <w:color w:val="202A30"/>
          <w:sz w:val="22"/>
          <w:szCs w:val="22"/>
          <w:shd w:val="clear" w:color="auto" w:fill="FFFFFF"/>
        </w:rPr>
        <w:t xml:space="preserve"> compared to previous years. However, band 2 staff are particularly unlikely to share their disability status.</w:t>
      </w:r>
    </w:p>
    <w:p w14:paraId="656CFBFD" w14:textId="77777777" w:rsidR="00FC4C4C" w:rsidRPr="0099700A" w:rsidRDefault="00FC4C4C" w:rsidP="00FC4C4C">
      <w:pPr>
        <w:autoSpaceDE w:val="0"/>
        <w:autoSpaceDN w:val="0"/>
        <w:adjustRightInd w:val="0"/>
        <w:spacing w:after="0" w:line="240" w:lineRule="auto"/>
        <w:rPr>
          <w:rFonts w:ascii="Arial" w:eastAsia="Calibri" w:hAnsi="Arial" w:cs="Arial"/>
          <w:b/>
          <w:bCs/>
          <w:color w:val="202A30"/>
          <w:shd w:val="clear" w:color="auto" w:fill="FFFFFF"/>
        </w:rPr>
      </w:pPr>
    </w:p>
    <w:p w14:paraId="210C1644"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WDES Indicator 2</w:t>
      </w:r>
      <w:r w:rsidRPr="0099700A">
        <w:rPr>
          <w:rFonts w:ascii="Arial" w:eastAsia="Calibri" w:hAnsi="Arial" w:cs="Arial"/>
        </w:rPr>
        <w:t xml:space="preserve"> - </w:t>
      </w:r>
      <w:r w:rsidRPr="0099700A">
        <w:rPr>
          <w:rFonts w:ascii="Arial" w:eastAsia="Calibri" w:hAnsi="Arial" w:cs="Arial"/>
          <w:color w:val="202A30"/>
          <w:bdr w:val="none" w:sz="0" w:space="0" w:color="auto" w:frame="1"/>
          <w:shd w:val="clear" w:color="auto" w:fill="FFFFFF"/>
        </w:rPr>
        <w:t>Relative likelihood of non-disabled staff compared to Disabled staff being appointed from shortlisting across all posts.</w:t>
      </w:r>
    </w:p>
    <w:tbl>
      <w:tblPr>
        <w:tblStyle w:val="TableGrid1"/>
        <w:tblW w:w="5860" w:type="dxa"/>
        <w:tblLook w:val="04A0" w:firstRow="1" w:lastRow="0" w:firstColumn="1" w:lastColumn="0" w:noHBand="0" w:noVBand="1"/>
      </w:tblPr>
      <w:tblGrid>
        <w:gridCol w:w="1036"/>
        <w:gridCol w:w="1034"/>
        <w:gridCol w:w="1034"/>
        <w:gridCol w:w="1035"/>
        <w:gridCol w:w="1721"/>
      </w:tblGrid>
      <w:tr w:rsidR="00FC4C4C" w:rsidRPr="0099700A" w14:paraId="1D6591AD" w14:textId="77777777" w:rsidTr="00724B51">
        <w:tc>
          <w:tcPr>
            <w:tcW w:w="1053" w:type="dxa"/>
            <w:shd w:val="clear" w:color="auto" w:fill="EEECE1"/>
          </w:tcPr>
          <w:p w14:paraId="67BF041F" w14:textId="77777777" w:rsidR="00FC4C4C" w:rsidRPr="0099700A" w:rsidRDefault="00FC4C4C" w:rsidP="00724B51">
            <w:pPr>
              <w:autoSpaceDE w:val="0"/>
              <w:autoSpaceDN w:val="0"/>
              <w:adjustRightInd w:val="0"/>
              <w:rPr>
                <w:rFonts w:ascii="Arial" w:eastAsia="Calibri" w:hAnsi="Arial" w:cs="Arial"/>
                <w:b/>
                <w:bCs/>
                <w:color w:val="000000"/>
              </w:rPr>
            </w:pPr>
            <w:r w:rsidRPr="0099700A">
              <w:rPr>
                <w:rFonts w:ascii="Arial" w:eastAsia="Calibri" w:hAnsi="Arial" w:cs="Arial"/>
                <w:b/>
                <w:bCs/>
                <w:color w:val="000000"/>
              </w:rPr>
              <w:t>2020</w:t>
            </w:r>
          </w:p>
        </w:tc>
        <w:tc>
          <w:tcPr>
            <w:tcW w:w="1052" w:type="dxa"/>
            <w:shd w:val="clear" w:color="auto" w:fill="EEECE1"/>
          </w:tcPr>
          <w:p w14:paraId="260DF5CD" w14:textId="77777777" w:rsidR="00FC4C4C" w:rsidRPr="0099700A" w:rsidRDefault="00FC4C4C" w:rsidP="00724B51">
            <w:pPr>
              <w:autoSpaceDE w:val="0"/>
              <w:autoSpaceDN w:val="0"/>
              <w:adjustRightInd w:val="0"/>
              <w:rPr>
                <w:rFonts w:ascii="Arial" w:eastAsia="Calibri" w:hAnsi="Arial" w:cs="Arial"/>
                <w:b/>
                <w:bCs/>
                <w:color w:val="000000"/>
              </w:rPr>
            </w:pPr>
            <w:r w:rsidRPr="0099700A">
              <w:rPr>
                <w:rFonts w:ascii="Arial" w:eastAsia="Calibri" w:hAnsi="Arial" w:cs="Arial"/>
                <w:b/>
                <w:bCs/>
                <w:color w:val="000000"/>
              </w:rPr>
              <w:t>2021</w:t>
            </w:r>
          </w:p>
        </w:tc>
        <w:tc>
          <w:tcPr>
            <w:tcW w:w="1052" w:type="dxa"/>
            <w:shd w:val="clear" w:color="auto" w:fill="EEECE1"/>
          </w:tcPr>
          <w:p w14:paraId="009B7977" w14:textId="77777777" w:rsidR="00FC4C4C" w:rsidRPr="0099700A" w:rsidRDefault="00FC4C4C" w:rsidP="00724B51">
            <w:pPr>
              <w:autoSpaceDE w:val="0"/>
              <w:autoSpaceDN w:val="0"/>
              <w:adjustRightInd w:val="0"/>
              <w:rPr>
                <w:rFonts w:ascii="Arial" w:eastAsia="Calibri" w:hAnsi="Arial" w:cs="Arial"/>
                <w:b/>
                <w:bCs/>
                <w:color w:val="000000"/>
              </w:rPr>
            </w:pPr>
            <w:r w:rsidRPr="0099700A">
              <w:rPr>
                <w:rFonts w:ascii="Arial" w:eastAsia="Calibri" w:hAnsi="Arial" w:cs="Arial"/>
                <w:b/>
                <w:bCs/>
                <w:color w:val="000000"/>
              </w:rPr>
              <w:t>2022</w:t>
            </w:r>
          </w:p>
        </w:tc>
        <w:tc>
          <w:tcPr>
            <w:tcW w:w="1053" w:type="dxa"/>
            <w:shd w:val="clear" w:color="auto" w:fill="EEECE1"/>
          </w:tcPr>
          <w:p w14:paraId="678F825A" w14:textId="77777777" w:rsidR="00FC4C4C" w:rsidRPr="0099700A" w:rsidRDefault="00FC4C4C" w:rsidP="00724B51">
            <w:pPr>
              <w:autoSpaceDE w:val="0"/>
              <w:autoSpaceDN w:val="0"/>
              <w:adjustRightInd w:val="0"/>
              <w:rPr>
                <w:rFonts w:ascii="Arial" w:eastAsia="Calibri" w:hAnsi="Arial" w:cs="Arial"/>
                <w:b/>
                <w:bCs/>
                <w:color w:val="000000"/>
              </w:rPr>
            </w:pPr>
            <w:r w:rsidRPr="0099700A">
              <w:rPr>
                <w:rFonts w:ascii="Arial" w:eastAsia="Calibri" w:hAnsi="Arial" w:cs="Arial"/>
                <w:b/>
                <w:bCs/>
                <w:color w:val="000000"/>
              </w:rPr>
              <w:t>2023</w:t>
            </w:r>
          </w:p>
        </w:tc>
        <w:tc>
          <w:tcPr>
            <w:tcW w:w="1650" w:type="dxa"/>
            <w:shd w:val="clear" w:color="auto" w:fill="EEECE1"/>
          </w:tcPr>
          <w:p w14:paraId="0788926A" w14:textId="77777777" w:rsidR="00FC4C4C" w:rsidRPr="0099700A" w:rsidRDefault="00FC4C4C" w:rsidP="00724B51">
            <w:pPr>
              <w:autoSpaceDE w:val="0"/>
              <w:autoSpaceDN w:val="0"/>
              <w:adjustRightInd w:val="0"/>
              <w:rPr>
                <w:rFonts w:ascii="Arial" w:eastAsia="Calibri" w:hAnsi="Arial" w:cs="Arial"/>
                <w:b/>
                <w:bCs/>
                <w:color w:val="000000"/>
              </w:rPr>
            </w:pPr>
            <w:r w:rsidRPr="0099700A">
              <w:rPr>
                <w:rFonts w:ascii="Arial" w:eastAsia="Calibri" w:hAnsi="Arial" w:cs="Arial"/>
                <w:b/>
                <w:bCs/>
                <w:color w:val="000000"/>
              </w:rPr>
              <w:t>Trend</w:t>
            </w:r>
          </w:p>
        </w:tc>
      </w:tr>
      <w:tr w:rsidR="00FC4C4C" w:rsidRPr="0099700A" w14:paraId="2473743F" w14:textId="77777777" w:rsidTr="00724B51">
        <w:trPr>
          <w:trHeight w:val="480"/>
        </w:trPr>
        <w:tc>
          <w:tcPr>
            <w:tcW w:w="1053" w:type="dxa"/>
          </w:tcPr>
          <w:p w14:paraId="5C9250EB"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1.36</w:t>
            </w:r>
          </w:p>
        </w:tc>
        <w:tc>
          <w:tcPr>
            <w:tcW w:w="1052" w:type="dxa"/>
          </w:tcPr>
          <w:p w14:paraId="7437349D"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1.10</w:t>
            </w:r>
          </w:p>
        </w:tc>
        <w:tc>
          <w:tcPr>
            <w:tcW w:w="1052" w:type="dxa"/>
          </w:tcPr>
          <w:p w14:paraId="04EA64CC"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0.84</w:t>
            </w:r>
          </w:p>
        </w:tc>
        <w:tc>
          <w:tcPr>
            <w:tcW w:w="1053" w:type="dxa"/>
          </w:tcPr>
          <w:p w14:paraId="2F29A008"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FF0000"/>
              </w:rPr>
              <w:t>1.20</w:t>
            </w:r>
          </w:p>
        </w:tc>
        <w:tc>
          <w:tcPr>
            <w:tcW w:w="1650" w:type="dxa"/>
          </w:tcPr>
          <w:p w14:paraId="6AED160A" w14:textId="77777777" w:rsidR="00FC4C4C" w:rsidRPr="0099700A" w:rsidRDefault="00FC4C4C" w:rsidP="00724B51">
            <w:pPr>
              <w:autoSpaceDE w:val="0"/>
              <w:autoSpaceDN w:val="0"/>
              <w:adjustRightInd w:val="0"/>
              <w:rPr>
                <w:rFonts w:ascii="Arial" w:eastAsia="Calibri" w:hAnsi="Arial" w:cs="Arial"/>
                <w:color w:val="000000"/>
              </w:rPr>
            </w:pPr>
            <w:r w:rsidRPr="0099700A">
              <w:rPr>
                <w:rFonts w:ascii="Arial" w:eastAsia="Calibri" w:hAnsi="Arial" w:cs="Arial"/>
                <w:noProof/>
                <w:color w:val="000000"/>
              </w:rPr>
              <w:drawing>
                <wp:inline distT="0" distB="0" distL="0" distR="0" wp14:anchorId="256E29FE" wp14:editId="0E4DAA67">
                  <wp:extent cx="956190" cy="25016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95046" cy="260332"/>
                          </a:xfrm>
                          <a:prstGeom prst="rect">
                            <a:avLst/>
                          </a:prstGeom>
                        </pic:spPr>
                      </pic:pic>
                    </a:graphicData>
                  </a:graphic>
                </wp:inline>
              </w:drawing>
            </w:r>
          </w:p>
        </w:tc>
      </w:tr>
    </w:tbl>
    <w:p w14:paraId="7C3F5D0A"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i/>
          <w:iCs/>
        </w:rPr>
        <w:t>(</w:t>
      </w:r>
      <w:r w:rsidRPr="0099700A">
        <w:rPr>
          <w:rFonts w:ascii="Arial" w:eastAsia="Calibri" w:hAnsi="Arial" w:cs="Arial"/>
        </w:rPr>
        <w:t xml:space="preserve">A relative likelihood of 1 indicates that there is no difference: </w:t>
      </w:r>
      <w:proofErr w:type="gramStart"/>
      <w:r w:rsidRPr="0099700A">
        <w:rPr>
          <w:rFonts w:ascii="Arial" w:eastAsia="Calibri" w:hAnsi="Arial" w:cs="Arial"/>
        </w:rPr>
        <w:t>i.e.</w:t>
      </w:r>
      <w:proofErr w:type="gramEnd"/>
      <w:r w:rsidRPr="0099700A">
        <w:rPr>
          <w:rFonts w:ascii="Arial" w:eastAsia="Calibri" w:hAnsi="Arial" w:cs="Arial"/>
        </w:rPr>
        <w:t xml:space="preserve"> non-disabled applicants are equally as likely of being appointed from shortlisting as Disabled applicants.) </w:t>
      </w:r>
    </w:p>
    <w:p w14:paraId="25E145C4"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4E3E30DE" w14:textId="77777777" w:rsidR="00FC4C4C" w:rsidRPr="00407B49" w:rsidRDefault="00FC4C4C" w:rsidP="00FC4C4C">
      <w:pPr>
        <w:pStyle w:val="ListParagraph"/>
        <w:numPr>
          <w:ilvl w:val="0"/>
          <w:numId w:val="8"/>
        </w:numPr>
        <w:autoSpaceDE w:val="0"/>
        <w:autoSpaceDN w:val="0"/>
        <w:adjustRightInd w:val="0"/>
        <w:rPr>
          <w:rFonts w:ascii="Arial" w:eastAsia="Calibri" w:hAnsi="Arial" w:cs="Arial"/>
          <w:sz w:val="22"/>
          <w:szCs w:val="22"/>
        </w:rPr>
      </w:pPr>
      <w:r w:rsidRPr="0099700A">
        <w:rPr>
          <w:rFonts w:ascii="Arial" w:eastAsia="Calibri" w:hAnsi="Arial" w:cs="Arial"/>
          <w:color w:val="000000"/>
          <w:sz w:val="22"/>
          <w:szCs w:val="22"/>
        </w:rPr>
        <w:t>A decline for disabled staff being appointed from shortlisting, our planned interview training for colleagues will support the development of recruiting with values</w:t>
      </w:r>
      <w:r>
        <w:rPr>
          <w:rFonts w:ascii="Arial" w:eastAsia="Calibri" w:hAnsi="Arial" w:cs="Arial"/>
          <w:color w:val="000000"/>
          <w:sz w:val="22"/>
          <w:szCs w:val="22"/>
        </w:rPr>
        <w:t>.</w:t>
      </w:r>
    </w:p>
    <w:p w14:paraId="42E5851F" w14:textId="77777777" w:rsidR="00FC4C4C" w:rsidRPr="0099700A" w:rsidRDefault="00FC4C4C" w:rsidP="00FC4C4C">
      <w:pPr>
        <w:pStyle w:val="ListParagraph"/>
        <w:numPr>
          <w:ilvl w:val="0"/>
          <w:numId w:val="8"/>
        </w:numPr>
        <w:autoSpaceDE w:val="0"/>
        <w:autoSpaceDN w:val="0"/>
        <w:adjustRightInd w:val="0"/>
        <w:rPr>
          <w:rFonts w:ascii="Arial" w:eastAsia="Calibri" w:hAnsi="Arial" w:cs="Arial"/>
          <w:sz w:val="22"/>
          <w:szCs w:val="22"/>
        </w:rPr>
      </w:pPr>
      <w:r>
        <w:rPr>
          <w:rFonts w:ascii="Arial" w:eastAsia="Calibri" w:hAnsi="Arial" w:cs="Arial"/>
          <w:color w:val="000000"/>
          <w:sz w:val="22"/>
          <w:szCs w:val="22"/>
        </w:rPr>
        <w:t>As the numbers involved are small a similar process to that which improved the data quality around ethnicity data recording for applicants is needed.</w:t>
      </w:r>
    </w:p>
    <w:p w14:paraId="7A30D33F" w14:textId="77777777" w:rsidR="00FC4C4C" w:rsidRPr="0099700A" w:rsidRDefault="00FC4C4C" w:rsidP="00FC4C4C">
      <w:pPr>
        <w:autoSpaceDE w:val="0"/>
        <w:autoSpaceDN w:val="0"/>
        <w:adjustRightInd w:val="0"/>
        <w:spacing w:after="0" w:line="240" w:lineRule="auto"/>
        <w:rPr>
          <w:rFonts w:ascii="Arial" w:eastAsia="Calibri" w:hAnsi="Arial" w:cs="Arial"/>
          <w:b/>
          <w:bCs/>
          <w:color w:val="FF0000"/>
        </w:rPr>
      </w:pPr>
    </w:p>
    <w:p w14:paraId="3E2501B0" w14:textId="77777777" w:rsidR="00FC4C4C" w:rsidRPr="0099700A" w:rsidRDefault="00FC4C4C" w:rsidP="00FC4C4C">
      <w:pPr>
        <w:autoSpaceDE w:val="0"/>
        <w:autoSpaceDN w:val="0"/>
        <w:adjustRightInd w:val="0"/>
        <w:spacing w:after="0" w:line="240" w:lineRule="auto"/>
        <w:rPr>
          <w:rFonts w:ascii="Arial" w:eastAsia="Calibri" w:hAnsi="Arial" w:cs="Arial"/>
          <w:color w:val="202A30"/>
          <w:bdr w:val="none" w:sz="0" w:space="0" w:color="auto" w:frame="1"/>
          <w:shd w:val="clear" w:color="auto" w:fill="FFFFFF"/>
        </w:rPr>
      </w:pPr>
      <w:r w:rsidRPr="0099700A">
        <w:rPr>
          <w:rFonts w:ascii="Arial" w:eastAsia="Calibri" w:hAnsi="Arial" w:cs="Arial"/>
          <w:b/>
          <w:bCs/>
        </w:rPr>
        <w:t>WDES Indicator 3</w:t>
      </w:r>
      <w:r w:rsidRPr="0099700A">
        <w:rPr>
          <w:rFonts w:ascii="Arial" w:eastAsia="Calibri" w:hAnsi="Arial" w:cs="Arial"/>
        </w:rPr>
        <w:t xml:space="preserve"> - </w:t>
      </w:r>
      <w:r w:rsidRPr="0099700A">
        <w:rPr>
          <w:rFonts w:ascii="Arial" w:eastAsia="Calibri" w:hAnsi="Arial" w:cs="Arial"/>
          <w:color w:val="202A30"/>
          <w:bdr w:val="none" w:sz="0" w:space="0" w:color="auto" w:frame="1"/>
          <w:shd w:val="clear" w:color="auto" w:fill="FFFFFF"/>
        </w:rPr>
        <w:t>Relative likelihood of Disabled staff compared to non-disabled staff entering the formal capability process on the grounds of performance, as measured by entry into the formal capability procedure.</w:t>
      </w:r>
    </w:p>
    <w:tbl>
      <w:tblPr>
        <w:tblStyle w:val="TableGrid1"/>
        <w:tblW w:w="5098" w:type="dxa"/>
        <w:tblLook w:val="04A0" w:firstRow="1" w:lastRow="0" w:firstColumn="1" w:lastColumn="0" w:noHBand="0" w:noVBand="1"/>
      </w:tblPr>
      <w:tblGrid>
        <w:gridCol w:w="1129"/>
        <w:gridCol w:w="1129"/>
        <w:gridCol w:w="1129"/>
        <w:gridCol w:w="1711"/>
      </w:tblGrid>
      <w:tr w:rsidR="00FC4C4C" w:rsidRPr="0099700A" w14:paraId="4A960146" w14:textId="77777777" w:rsidTr="00724B51">
        <w:tc>
          <w:tcPr>
            <w:tcW w:w="1129" w:type="dxa"/>
            <w:shd w:val="clear" w:color="auto" w:fill="EEECE1"/>
          </w:tcPr>
          <w:p w14:paraId="2CBE82B2"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000000"/>
              </w:rPr>
              <w:t>2021</w:t>
            </w:r>
          </w:p>
        </w:tc>
        <w:tc>
          <w:tcPr>
            <w:tcW w:w="1129" w:type="dxa"/>
            <w:shd w:val="clear" w:color="auto" w:fill="EEECE1"/>
          </w:tcPr>
          <w:p w14:paraId="23A8C4A0"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000000"/>
              </w:rPr>
              <w:t>2022</w:t>
            </w:r>
          </w:p>
        </w:tc>
        <w:tc>
          <w:tcPr>
            <w:tcW w:w="1129" w:type="dxa"/>
            <w:shd w:val="clear" w:color="auto" w:fill="EEECE1"/>
          </w:tcPr>
          <w:p w14:paraId="1C8BFF6D"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000000"/>
              </w:rPr>
              <w:t>2023</w:t>
            </w:r>
          </w:p>
        </w:tc>
        <w:tc>
          <w:tcPr>
            <w:tcW w:w="1711" w:type="dxa"/>
            <w:shd w:val="clear" w:color="auto" w:fill="EEECE1"/>
          </w:tcPr>
          <w:p w14:paraId="41D2AF25"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000000"/>
              </w:rPr>
              <w:t xml:space="preserve">Trend </w:t>
            </w:r>
          </w:p>
        </w:tc>
      </w:tr>
      <w:tr w:rsidR="00FC4C4C" w:rsidRPr="0099700A" w14:paraId="73B05631" w14:textId="77777777" w:rsidTr="00724B51">
        <w:trPr>
          <w:trHeight w:val="480"/>
        </w:trPr>
        <w:tc>
          <w:tcPr>
            <w:tcW w:w="1129" w:type="dxa"/>
          </w:tcPr>
          <w:p w14:paraId="77BBA44E"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1.11</w:t>
            </w:r>
          </w:p>
        </w:tc>
        <w:tc>
          <w:tcPr>
            <w:tcW w:w="1129" w:type="dxa"/>
          </w:tcPr>
          <w:p w14:paraId="749B4848"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1.05</w:t>
            </w:r>
          </w:p>
        </w:tc>
        <w:tc>
          <w:tcPr>
            <w:tcW w:w="1129" w:type="dxa"/>
          </w:tcPr>
          <w:p w14:paraId="0430ED6B" w14:textId="77777777" w:rsidR="00FC4C4C" w:rsidRPr="0099700A" w:rsidRDefault="00FC4C4C" w:rsidP="00724B51">
            <w:pPr>
              <w:autoSpaceDE w:val="0"/>
              <w:autoSpaceDN w:val="0"/>
              <w:adjustRightInd w:val="0"/>
              <w:jc w:val="center"/>
              <w:rPr>
                <w:rFonts w:ascii="Arial" w:eastAsia="Calibri" w:hAnsi="Arial" w:cs="Arial"/>
                <w:b/>
                <w:bCs/>
                <w:color w:val="FF0000"/>
              </w:rPr>
            </w:pPr>
            <w:r w:rsidRPr="0099700A">
              <w:rPr>
                <w:rFonts w:ascii="Arial" w:eastAsia="Calibri" w:hAnsi="Arial" w:cs="Arial"/>
                <w:b/>
                <w:bCs/>
                <w:color w:val="FF0000"/>
              </w:rPr>
              <w:t>1.35</w:t>
            </w:r>
          </w:p>
        </w:tc>
        <w:tc>
          <w:tcPr>
            <w:tcW w:w="1711" w:type="dxa"/>
          </w:tcPr>
          <w:p w14:paraId="6410CDB4"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noProof/>
                <w:color w:val="000000"/>
              </w:rPr>
              <w:drawing>
                <wp:inline distT="0" distB="0" distL="0" distR="0" wp14:anchorId="548EDC93" wp14:editId="07B0E539">
                  <wp:extent cx="920750" cy="17007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82926" cy="181560"/>
                          </a:xfrm>
                          <a:prstGeom prst="rect">
                            <a:avLst/>
                          </a:prstGeom>
                        </pic:spPr>
                      </pic:pic>
                    </a:graphicData>
                  </a:graphic>
                </wp:inline>
              </w:drawing>
            </w:r>
          </w:p>
        </w:tc>
      </w:tr>
    </w:tbl>
    <w:p w14:paraId="4EE793E8" w14:textId="77777777" w:rsidR="00FC4C4C" w:rsidRPr="0099700A" w:rsidRDefault="00FC4C4C" w:rsidP="00FC4C4C">
      <w:pPr>
        <w:autoSpaceDE w:val="0"/>
        <w:autoSpaceDN w:val="0"/>
        <w:adjustRightInd w:val="0"/>
        <w:spacing w:after="0" w:line="240" w:lineRule="auto"/>
        <w:rPr>
          <w:rFonts w:ascii="Arial" w:eastAsia="Calibri" w:hAnsi="Arial" w:cs="Arial"/>
          <w:color w:val="000000"/>
        </w:rPr>
      </w:pPr>
      <w:r w:rsidRPr="0099700A">
        <w:rPr>
          <w:rFonts w:ascii="Arial" w:eastAsia="Calibri" w:hAnsi="Arial" w:cs="Arial"/>
          <w:i/>
          <w:iCs/>
          <w:color w:val="000000"/>
        </w:rPr>
        <w:t xml:space="preserve"> </w:t>
      </w:r>
      <w:r w:rsidRPr="0099700A">
        <w:rPr>
          <w:rFonts w:ascii="Arial" w:eastAsia="Calibri" w:hAnsi="Arial" w:cs="Arial"/>
          <w:color w:val="000000"/>
        </w:rPr>
        <w:t xml:space="preserve">(A relative likelihood of 1 indicates that there is no difference, </w:t>
      </w:r>
      <w:proofErr w:type="gramStart"/>
      <w:r w:rsidRPr="0099700A">
        <w:rPr>
          <w:rFonts w:ascii="Arial" w:eastAsia="Calibri" w:hAnsi="Arial" w:cs="Arial"/>
          <w:color w:val="000000"/>
        </w:rPr>
        <w:t>i.e.</w:t>
      </w:r>
      <w:proofErr w:type="gramEnd"/>
      <w:r w:rsidRPr="0099700A">
        <w:rPr>
          <w:rFonts w:ascii="Arial" w:eastAsia="Calibri" w:hAnsi="Arial" w:cs="Arial"/>
          <w:color w:val="000000"/>
        </w:rPr>
        <w:t xml:space="preserve"> Disabled staff are equally as likely as nondisabled staff to enter formal capability processes.)</w:t>
      </w:r>
    </w:p>
    <w:p w14:paraId="2521F9BC" w14:textId="77777777" w:rsidR="00FC4C4C" w:rsidRPr="0099700A" w:rsidRDefault="00FC4C4C" w:rsidP="00FC4C4C">
      <w:pPr>
        <w:autoSpaceDE w:val="0"/>
        <w:autoSpaceDN w:val="0"/>
        <w:adjustRightInd w:val="0"/>
        <w:spacing w:after="0" w:line="240" w:lineRule="auto"/>
        <w:rPr>
          <w:rFonts w:ascii="Arial" w:eastAsia="Calibri" w:hAnsi="Arial" w:cs="Arial"/>
          <w:color w:val="000000"/>
        </w:rPr>
      </w:pPr>
    </w:p>
    <w:p w14:paraId="23765B98" w14:textId="77777777" w:rsidR="00FC4C4C" w:rsidRDefault="00FC4C4C" w:rsidP="00FC4C4C">
      <w:pPr>
        <w:pStyle w:val="ListParagraph"/>
        <w:numPr>
          <w:ilvl w:val="0"/>
          <w:numId w:val="8"/>
        </w:numPr>
        <w:autoSpaceDE w:val="0"/>
        <w:autoSpaceDN w:val="0"/>
        <w:adjustRightInd w:val="0"/>
        <w:rPr>
          <w:rFonts w:ascii="Arial" w:eastAsia="Calibri" w:hAnsi="Arial" w:cs="Arial"/>
          <w:color w:val="000000"/>
          <w:sz w:val="22"/>
          <w:szCs w:val="22"/>
        </w:rPr>
      </w:pPr>
      <w:r w:rsidRPr="0099700A">
        <w:rPr>
          <w:rFonts w:ascii="Arial" w:eastAsia="Calibri" w:hAnsi="Arial" w:cs="Arial"/>
          <w:color w:val="000000"/>
          <w:sz w:val="22"/>
          <w:szCs w:val="22"/>
        </w:rPr>
        <w:t>A decline for disabled staff where disabled staff entering a capability process, our people services workplan includes the recruitment of mediators, investigation officers, a full review of our Trust policies will support the metric to improve.</w:t>
      </w:r>
    </w:p>
    <w:p w14:paraId="0EA495D6" w14:textId="77777777" w:rsidR="00FC4C4C" w:rsidRPr="0099700A" w:rsidRDefault="00FC4C4C" w:rsidP="00FC4C4C">
      <w:pPr>
        <w:pStyle w:val="ListParagraph"/>
        <w:numPr>
          <w:ilvl w:val="0"/>
          <w:numId w:val="8"/>
        </w:num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The number of cases </w:t>
      </w:r>
      <w:proofErr w:type="gramStart"/>
      <w:r>
        <w:rPr>
          <w:rFonts w:ascii="Arial" w:eastAsia="Calibri" w:hAnsi="Arial" w:cs="Arial"/>
          <w:color w:val="000000"/>
          <w:sz w:val="22"/>
          <w:szCs w:val="22"/>
        </w:rPr>
        <w:t>are</w:t>
      </w:r>
      <w:proofErr w:type="gramEnd"/>
      <w:r>
        <w:rPr>
          <w:rFonts w:ascii="Arial" w:eastAsia="Calibri" w:hAnsi="Arial" w:cs="Arial"/>
          <w:color w:val="000000"/>
          <w:sz w:val="22"/>
          <w:szCs w:val="22"/>
        </w:rPr>
        <w:t xml:space="preserve"> small but the increase from 2022 is a concern.</w:t>
      </w:r>
    </w:p>
    <w:p w14:paraId="5B14EE62" w14:textId="77777777" w:rsidR="00FC4C4C" w:rsidRPr="0099700A" w:rsidRDefault="00FC4C4C" w:rsidP="00FC4C4C">
      <w:pPr>
        <w:autoSpaceDE w:val="0"/>
        <w:autoSpaceDN w:val="0"/>
        <w:adjustRightInd w:val="0"/>
        <w:spacing w:after="0" w:line="240" w:lineRule="auto"/>
        <w:rPr>
          <w:rFonts w:ascii="Arial" w:eastAsia="Calibri" w:hAnsi="Arial" w:cs="Arial"/>
          <w:color w:val="000000"/>
        </w:rPr>
      </w:pPr>
    </w:p>
    <w:p w14:paraId="4D0A15EB" w14:textId="77777777" w:rsidR="00FC4C4C" w:rsidRPr="0099700A" w:rsidRDefault="00FC4C4C" w:rsidP="00FC4C4C">
      <w:pPr>
        <w:shd w:val="clear" w:color="auto" w:fill="EEECE1"/>
        <w:autoSpaceDE w:val="0"/>
        <w:autoSpaceDN w:val="0"/>
        <w:adjustRightInd w:val="0"/>
        <w:spacing w:after="0" w:line="240" w:lineRule="auto"/>
        <w:jc w:val="center"/>
        <w:rPr>
          <w:rFonts w:ascii="Arial" w:eastAsia="Calibri" w:hAnsi="Arial" w:cs="Arial"/>
          <w:b/>
          <w:bCs/>
        </w:rPr>
      </w:pPr>
      <w:r w:rsidRPr="0099700A">
        <w:rPr>
          <w:rFonts w:ascii="Arial" w:eastAsia="Calibri" w:hAnsi="Arial" w:cs="Arial"/>
          <w:b/>
          <w:bCs/>
        </w:rPr>
        <w:t>Indicators 4-9 from 2022 staff survey data.</w:t>
      </w:r>
    </w:p>
    <w:p w14:paraId="16F7BCED"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3917A0CC"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WDES Indicator 4a</w:t>
      </w:r>
      <w:r w:rsidRPr="0099700A">
        <w:rPr>
          <w:rFonts w:ascii="Arial" w:eastAsia="Calibri" w:hAnsi="Arial" w:cs="Arial"/>
        </w:rPr>
        <w:t xml:space="preserve"> – Percentage of Disabled staff compared to non-disabled staff experiencing harassment, bullying or abuse from:</w:t>
      </w:r>
    </w:p>
    <w:p w14:paraId="5A807DA3" w14:textId="77777777" w:rsidR="00FC4C4C" w:rsidRPr="0099700A" w:rsidRDefault="00FC4C4C" w:rsidP="00FC4C4C">
      <w:pPr>
        <w:autoSpaceDE w:val="0"/>
        <w:autoSpaceDN w:val="0"/>
        <w:adjustRightInd w:val="0"/>
        <w:spacing w:after="0" w:line="240" w:lineRule="auto"/>
        <w:rPr>
          <w:rFonts w:ascii="Arial" w:eastAsia="Calibri" w:hAnsi="Arial" w:cs="Arial"/>
          <w:color w:val="FF0000"/>
        </w:rPr>
      </w:pPr>
      <w:r w:rsidRPr="0099700A">
        <w:rPr>
          <w:rFonts w:ascii="Arial" w:eastAsia="Calibri" w:hAnsi="Arial" w:cs="Arial"/>
        </w:rPr>
        <w:t xml:space="preserve">Patients/Service users, their relatives or other members of the public, Managers and Other colleagues. </w:t>
      </w:r>
    </w:p>
    <w:tbl>
      <w:tblPr>
        <w:tblStyle w:val="TableGrid1"/>
        <w:tblW w:w="0" w:type="auto"/>
        <w:tblLook w:val="04A0" w:firstRow="1" w:lastRow="0" w:firstColumn="1" w:lastColumn="0" w:noHBand="0" w:noVBand="1"/>
      </w:tblPr>
      <w:tblGrid>
        <w:gridCol w:w="1647"/>
        <w:gridCol w:w="1210"/>
        <w:gridCol w:w="1231"/>
        <w:gridCol w:w="1232"/>
        <w:gridCol w:w="1232"/>
        <w:gridCol w:w="1232"/>
        <w:gridCol w:w="1232"/>
      </w:tblGrid>
      <w:tr w:rsidR="00FC4C4C" w:rsidRPr="0099700A" w14:paraId="36235CF0" w14:textId="77777777" w:rsidTr="00724B51">
        <w:tc>
          <w:tcPr>
            <w:tcW w:w="1570" w:type="dxa"/>
          </w:tcPr>
          <w:p w14:paraId="0E60B3A7" w14:textId="77777777" w:rsidR="00FC4C4C" w:rsidRPr="0099700A" w:rsidRDefault="00FC4C4C" w:rsidP="00724B51">
            <w:pPr>
              <w:autoSpaceDE w:val="0"/>
              <w:autoSpaceDN w:val="0"/>
              <w:adjustRightInd w:val="0"/>
              <w:rPr>
                <w:rFonts w:ascii="Arial" w:eastAsia="Calibri" w:hAnsi="Arial" w:cs="Arial"/>
                <w:color w:val="FF0000"/>
              </w:rPr>
            </w:pPr>
          </w:p>
        </w:tc>
        <w:tc>
          <w:tcPr>
            <w:tcW w:w="1216" w:type="dxa"/>
          </w:tcPr>
          <w:p w14:paraId="2ED8D48D" w14:textId="77777777" w:rsidR="00FC4C4C" w:rsidRPr="0099700A" w:rsidRDefault="00FC4C4C" w:rsidP="00724B51">
            <w:pPr>
              <w:autoSpaceDE w:val="0"/>
              <w:autoSpaceDN w:val="0"/>
              <w:adjustRightInd w:val="0"/>
              <w:rPr>
                <w:rFonts w:ascii="Arial" w:eastAsia="Calibri" w:hAnsi="Arial" w:cs="Arial"/>
                <w:color w:val="FF0000"/>
              </w:rPr>
            </w:pPr>
          </w:p>
        </w:tc>
        <w:tc>
          <w:tcPr>
            <w:tcW w:w="1246" w:type="dxa"/>
          </w:tcPr>
          <w:p w14:paraId="4F5EF89E"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000000"/>
              </w:rPr>
              <w:t>2018</w:t>
            </w:r>
          </w:p>
        </w:tc>
        <w:tc>
          <w:tcPr>
            <w:tcW w:w="1246" w:type="dxa"/>
          </w:tcPr>
          <w:p w14:paraId="0974A59C"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000000"/>
              </w:rPr>
              <w:t>2019</w:t>
            </w:r>
          </w:p>
        </w:tc>
        <w:tc>
          <w:tcPr>
            <w:tcW w:w="1246" w:type="dxa"/>
          </w:tcPr>
          <w:p w14:paraId="5B020DD7"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000000"/>
              </w:rPr>
              <w:t>2020</w:t>
            </w:r>
          </w:p>
        </w:tc>
        <w:tc>
          <w:tcPr>
            <w:tcW w:w="1246" w:type="dxa"/>
          </w:tcPr>
          <w:p w14:paraId="78D9C579"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000000"/>
              </w:rPr>
              <w:t>2021</w:t>
            </w:r>
          </w:p>
        </w:tc>
        <w:tc>
          <w:tcPr>
            <w:tcW w:w="1246" w:type="dxa"/>
          </w:tcPr>
          <w:p w14:paraId="5579A107" w14:textId="77777777" w:rsidR="00FC4C4C" w:rsidRPr="0099700A" w:rsidRDefault="00FC4C4C" w:rsidP="00724B51">
            <w:pPr>
              <w:autoSpaceDE w:val="0"/>
              <w:autoSpaceDN w:val="0"/>
              <w:adjustRightInd w:val="0"/>
              <w:jc w:val="center"/>
              <w:rPr>
                <w:rFonts w:ascii="Arial" w:eastAsia="Calibri" w:hAnsi="Arial" w:cs="Arial"/>
                <w:b/>
                <w:bCs/>
                <w:color w:val="000000"/>
              </w:rPr>
            </w:pPr>
            <w:r w:rsidRPr="0099700A">
              <w:rPr>
                <w:rFonts w:ascii="Arial" w:eastAsia="Calibri" w:hAnsi="Arial" w:cs="Arial"/>
                <w:b/>
                <w:bCs/>
                <w:color w:val="000000"/>
              </w:rPr>
              <w:t>2022</w:t>
            </w:r>
          </w:p>
        </w:tc>
      </w:tr>
      <w:tr w:rsidR="00FC4C4C" w:rsidRPr="0099700A" w14:paraId="2291C176" w14:textId="77777777" w:rsidTr="00724B51">
        <w:trPr>
          <w:trHeight w:val="90"/>
        </w:trPr>
        <w:tc>
          <w:tcPr>
            <w:tcW w:w="1570" w:type="dxa"/>
            <w:vMerge w:val="restart"/>
          </w:tcPr>
          <w:p w14:paraId="05B14366" w14:textId="77777777" w:rsidR="00FC4C4C" w:rsidRPr="0099700A" w:rsidRDefault="00FC4C4C" w:rsidP="00724B51">
            <w:pPr>
              <w:autoSpaceDE w:val="0"/>
              <w:autoSpaceDN w:val="0"/>
              <w:adjustRightInd w:val="0"/>
              <w:rPr>
                <w:rFonts w:ascii="Arial" w:eastAsia="Calibri" w:hAnsi="Arial" w:cs="Arial"/>
                <w:color w:val="000000"/>
              </w:rPr>
            </w:pPr>
            <w:r w:rsidRPr="0099700A">
              <w:rPr>
                <w:rFonts w:ascii="Arial" w:eastAsia="Calibri" w:hAnsi="Arial" w:cs="Arial"/>
                <w:color w:val="000000"/>
              </w:rPr>
              <w:t xml:space="preserve">Manager </w:t>
            </w:r>
          </w:p>
        </w:tc>
        <w:tc>
          <w:tcPr>
            <w:tcW w:w="1216" w:type="dxa"/>
            <w:shd w:val="clear" w:color="auto" w:fill="EEECE1"/>
          </w:tcPr>
          <w:p w14:paraId="7C735C38" w14:textId="77777777" w:rsidR="00FC4C4C" w:rsidRPr="0099700A" w:rsidRDefault="00FC4C4C" w:rsidP="00724B51">
            <w:pPr>
              <w:autoSpaceDE w:val="0"/>
              <w:autoSpaceDN w:val="0"/>
              <w:adjustRightInd w:val="0"/>
              <w:rPr>
                <w:rFonts w:ascii="Arial" w:eastAsia="Calibri" w:hAnsi="Arial" w:cs="Arial"/>
                <w:color w:val="000000"/>
              </w:rPr>
            </w:pPr>
            <w:r w:rsidRPr="0099700A">
              <w:rPr>
                <w:rFonts w:ascii="Arial" w:eastAsia="Calibri" w:hAnsi="Arial" w:cs="Arial"/>
                <w:color w:val="000000"/>
              </w:rPr>
              <w:t xml:space="preserve">Disabled </w:t>
            </w:r>
          </w:p>
        </w:tc>
        <w:tc>
          <w:tcPr>
            <w:tcW w:w="1246" w:type="dxa"/>
            <w:shd w:val="clear" w:color="auto" w:fill="EEECE1"/>
          </w:tcPr>
          <w:p w14:paraId="70A5CB13"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26.2%</w:t>
            </w:r>
          </w:p>
        </w:tc>
        <w:tc>
          <w:tcPr>
            <w:tcW w:w="1246" w:type="dxa"/>
            <w:shd w:val="clear" w:color="auto" w:fill="EEECE1"/>
          </w:tcPr>
          <w:p w14:paraId="236C8620"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23.2%</w:t>
            </w:r>
          </w:p>
        </w:tc>
        <w:tc>
          <w:tcPr>
            <w:tcW w:w="1246" w:type="dxa"/>
            <w:shd w:val="clear" w:color="auto" w:fill="EEECE1"/>
          </w:tcPr>
          <w:p w14:paraId="15623499"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17.7%</w:t>
            </w:r>
          </w:p>
        </w:tc>
        <w:tc>
          <w:tcPr>
            <w:tcW w:w="1246" w:type="dxa"/>
            <w:shd w:val="clear" w:color="auto" w:fill="EEECE1"/>
          </w:tcPr>
          <w:p w14:paraId="7388832F"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22.6%</w:t>
            </w:r>
          </w:p>
        </w:tc>
        <w:tc>
          <w:tcPr>
            <w:tcW w:w="1246" w:type="dxa"/>
            <w:shd w:val="clear" w:color="auto" w:fill="EEECE1"/>
          </w:tcPr>
          <w:p w14:paraId="571D855A"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24.3%</w:t>
            </w:r>
          </w:p>
        </w:tc>
      </w:tr>
      <w:tr w:rsidR="00FC4C4C" w:rsidRPr="0099700A" w14:paraId="54304FC8" w14:textId="77777777" w:rsidTr="00724B51">
        <w:trPr>
          <w:trHeight w:val="90"/>
        </w:trPr>
        <w:tc>
          <w:tcPr>
            <w:tcW w:w="1570" w:type="dxa"/>
            <w:vMerge/>
          </w:tcPr>
          <w:p w14:paraId="4CB797B2" w14:textId="77777777" w:rsidR="00FC4C4C" w:rsidRPr="0099700A" w:rsidRDefault="00FC4C4C" w:rsidP="00724B51">
            <w:pPr>
              <w:autoSpaceDE w:val="0"/>
              <w:autoSpaceDN w:val="0"/>
              <w:adjustRightInd w:val="0"/>
              <w:rPr>
                <w:rFonts w:ascii="Arial" w:eastAsia="Calibri" w:hAnsi="Arial" w:cs="Arial"/>
                <w:color w:val="000000"/>
              </w:rPr>
            </w:pPr>
          </w:p>
        </w:tc>
        <w:tc>
          <w:tcPr>
            <w:tcW w:w="1216" w:type="dxa"/>
          </w:tcPr>
          <w:p w14:paraId="3A435A9C" w14:textId="77777777" w:rsidR="00FC4C4C" w:rsidRPr="0099700A" w:rsidRDefault="00FC4C4C" w:rsidP="00724B51">
            <w:pPr>
              <w:autoSpaceDE w:val="0"/>
              <w:autoSpaceDN w:val="0"/>
              <w:adjustRightInd w:val="0"/>
              <w:rPr>
                <w:rFonts w:ascii="Arial" w:eastAsia="Calibri" w:hAnsi="Arial" w:cs="Arial"/>
                <w:color w:val="000000"/>
              </w:rPr>
            </w:pPr>
            <w:r w:rsidRPr="0099700A">
              <w:rPr>
                <w:rFonts w:ascii="Arial" w:eastAsia="Calibri" w:hAnsi="Arial" w:cs="Arial"/>
                <w:color w:val="000000"/>
              </w:rPr>
              <w:t>Non-disabled</w:t>
            </w:r>
          </w:p>
        </w:tc>
        <w:tc>
          <w:tcPr>
            <w:tcW w:w="1246" w:type="dxa"/>
          </w:tcPr>
          <w:p w14:paraId="44F7EF6F"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15.1%</w:t>
            </w:r>
          </w:p>
        </w:tc>
        <w:tc>
          <w:tcPr>
            <w:tcW w:w="1246" w:type="dxa"/>
          </w:tcPr>
          <w:p w14:paraId="76A94A37"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12.2%</w:t>
            </w:r>
          </w:p>
        </w:tc>
        <w:tc>
          <w:tcPr>
            <w:tcW w:w="1246" w:type="dxa"/>
          </w:tcPr>
          <w:p w14:paraId="57911877"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13.2%</w:t>
            </w:r>
          </w:p>
        </w:tc>
        <w:tc>
          <w:tcPr>
            <w:tcW w:w="1246" w:type="dxa"/>
          </w:tcPr>
          <w:p w14:paraId="74646A10"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12.9%</w:t>
            </w:r>
          </w:p>
        </w:tc>
        <w:tc>
          <w:tcPr>
            <w:tcW w:w="1246" w:type="dxa"/>
          </w:tcPr>
          <w:p w14:paraId="4B45EA0A"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11.0%</w:t>
            </w:r>
          </w:p>
        </w:tc>
      </w:tr>
      <w:tr w:rsidR="00FC4C4C" w:rsidRPr="0099700A" w14:paraId="49175B0F" w14:textId="77777777" w:rsidTr="00724B51">
        <w:trPr>
          <w:trHeight w:val="180"/>
        </w:trPr>
        <w:tc>
          <w:tcPr>
            <w:tcW w:w="1570" w:type="dxa"/>
            <w:vMerge w:val="restart"/>
          </w:tcPr>
          <w:p w14:paraId="5C7196CD" w14:textId="77777777" w:rsidR="00FC4C4C" w:rsidRPr="0099700A" w:rsidRDefault="00FC4C4C" w:rsidP="00724B51">
            <w:pPr>
              <w:autoSpaceDE w:val="0"/>
              <w:autoSpaceDN w:val="0"/>
              <w:adjustRightInd w:val="0"/>
              <w:rPr>
                <w:rFonts w:ascii="Arial" w:eastAsia="Calibri" w:hAnsi="Arial" w:cs="Arial"/>
                <w:color w:val="000000"/>
              </w:rPr>
            </w:pPr>
            <w:r w:rsidRPr="0099700A">
              <w:rPr>
                <w:rFonts w:ascii="Arial" w:eastAsia="Calibri" w:hAnsi="Arial" w:cs="Arial"/>
                <w:color w:val="000000"/>
              </w:rPr>
              <w:t>Other colleagues</w:t>
            </w:r>
          </w:p>
        </w:tc>
        <w:tc>
          <w:tcPr>
            <w:tcW w:w="1216" w:type="dxa"/>
            <w:shd w:val="clear" w:color="auto" w:fill="EEECE1"/>
          </w:tcPr>
          <w:p w14:paraId="0CB32CF0" w14:textId="77777777" w:rsidR="00FC4C4C" w:rsidRPr="0099700A" w:rsidRDefault="00FC4C4C" w:rsidP="00724B51">
            <w:pPr>
              <w:autoSpaceDE w:val="0"/>
              <w:autoSpaceDN w:val="0"/>
              <w:adjustRightInd w:val="0"/>
              <w:rPr>
                <w:rFonts w:ascii="Arial" w:eastAsia="Calibri" w:hAnsi="Arial" w:cs="Arial"/>
                <w:color w:val="000000"/>
              </w:rPr>
            </w:pPr>
            <w:r w:rsidRPr="0099700A">
              <w:rPr>
                <w:rFonts w:ascii="Arial" w:eastAsia="Calibri" w:hAnsi="Arial" w:cs="Arial"/>
                <w:color w:val="000000"/>
              </w:rPr>
              <w:t xml:space="preserve">Disabled </w:t>
            </w:r>
          </w:p>
        </w:tc>
        <w:tc>
          <w:tcPr>
            <w:tcW w:w="1246" w:type="dxa"/>
            <w:shd w:val="clear" w:color="auto" w:fill="EEECE1"/>
          </w:tcPr>
          <w:p w14:paraId="50CFAD55"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32.6%</w:t>
            </w:r>
          </w:p>
        </w:tc>
        <w:tc>
          <w:tcPr>
            <w:tcW w:w="1246" w:type="dxa"/>
            <w:shd w:val="clear" w:color="auto" w:fill="EEECE1"/>
          </w:tcPr>
          <w:p w14:paraId="4A396DEB"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37.4%</w:t>
            </w:r>
          </w:p>
        </w:tc>
        <w:tc>
          <w:tcPr>
            <w:tcW w:w="1246" w:type="dxa"/>
            <w:shd w:val="clear" w:color="auto" w:fill="EEECE1"/>
          </w:tcPr>
          <w:p w14:paraId="183ABA9F"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27.9%</w:t>
            </w:r>
          </w:p>
        </w:tc>
        <w:tc>
          <w:tcPr>
            <w:tcW w:w="1246" w:type="dxa"/>
            <w:shd w:val="clear" w:color="auto" w:fill="EEECE1"/>
          </w:tcPr>
          <w:p w14:paraId="20162EF8"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33.0%</w:t>
            </w:r>
          </w:p>
        </w:tc>
        <w:tc>
          <w:tcPr>
            <w:tcW w:w="1246" w:type="dxa"/>
            <w:shd w:val="clear" w:color="auto" w:fill="EEECE1"/>
          </w:tcPr>
          <w:p w14:paraId="0E14A555"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32.4%</w:t>
            </w:r>
          </w:p>
        </w:tc>
      </w:tr>
      <w:tr w:rsidR="00FC4C4C" w:rsidRPr="0099700A" w14:paraId="0257AFD8" w14:textId="77777777" w:rsidTr="00724B51">
        <w:trPr>
          <w:trHeight w:val="180"/>
        </w:trPr>
        <w:tc>
          <w:tcPr>
            <w:tcW w:w="1570" w:type="dxa"/>
            <w:vMerge/>
          </w:tcPr>
          <w:p w14:paraId="200D3C99" w14:textId="77777777" w:rsidR="00FC4C4C" w:rsidRPr="0099700A" w:rsidRDefault="00FC4C4C" w:rsidP="00724B51">
            <w:pPr>
              <w:autoSpaceDE w:val="0"/>
              <w:autoSpaceDN w:val="0"/>
              <w:adjustRightInd w:val="0"/>
              <w:rPr>
                <w:rFonts w:ascii="Arial" w:eastAsia="Calibri" w:hAnsi="Arial" w:cs="Arial"/>
                <w:color w:val="FF0000"/>
              </w:rPr>
            </w:pPr>
          </w:p>
        </w:tc>
        <w:tc>
          <w:tcPr>
            <w:tcW w:w="1216" w:type="dxa"/>
          </w:tcPr>
          <w:p w14:paraId="36DA6D82" w14:textId="77777777" w:rsidR="00FC4C4C" w:rsidRPr="0099700A" w:rsidRDefault="00FC4C4C" w:rsidP="00724B51">
            <w:pPr>
              <w:autoSpaceDE w:val="0"/>
              <w:autoSpaceDN w:val="0"/>
              <w:adjustRightInd w:val="0"/>
              <w:rPr>
                <w:rFonts w:ascii="Arial" w:eastAsia="Calibri" w:hAnsi="Arial" w:cs="Arial"/>
                <w:color w:val="000000"/>
              </w:rPr>
            </w:pPr>
            <w:r w:rsidRPr="0099700A">
              <w:rPr>
                <w:rFonts w:ascii="Arial" w:eastAsia="Calibri" w:hAnsi="Arial" w:cs="Arial"/>
                <w:color w:val="000000"/>
              </w:rPr>
              <w:t>Non-disabled</w:t>
            </w:r>
          </w:p>
        </w:tc>
        <w:tc>
          <w:tcPr>
            <w:tcW w:w="1246" w:type="dxa"/>
          </w:tcPr>
          <w:p w14:paraId="74A7E958"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21.5%</w:t>
            </w:r>
          </w:p>
        </w:tc>
        <w:tc>
          <w:tcPr>
            <w:tcW w:w="1246" w:type="dxa"/>
          </w:tcPr>
          <w:p w14:paraId="68AFBBFE"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20.2%</w:t>
            </w:r>
          </w:p>
        </w:tc>
        <w:tc>
          <w:tcPr>
            <w:tcW w:w="1246" w:type="dxa"/>
          </w:tcPr>
          <w:p w14:paraId="38CBF62F"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18.9%</w:t>
            </w:r>
          </w:p>
        </w:tc>
        <w:tc>
          <w:tcPr>
            <w:tcW w:w="1246" w:type="dxa"/>
          </w:tcPr>
          <w:p w14:paraId="03B04D08"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20.4%</w:t>
            </w:r>
          </w:p>
        </w:tc>
        <w:tc>
          <w:tcPr>
            <w:tcW w:w="1246" w:type="dxa"/>
          </w:tcPr>
          <w:p w14:paraId="1D87EB39"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19.9%</w:t>
            </w:r>
          </w:p>
        </w:tc>
      </w:tr>
      <w:tr w:rsidR="00FC4C4C" w:rsidRPr="0099700A" w14:paraId="777F49D3" w14:textId="77777777" w:rsidTr="00724B51">
        <w:trPr>
          <w:trHeight w:val="90"/>
        </w:trPr>
        <w:tc>
          <w:tcPr>
            <w:tcW w:w="1570" w:type="dxa"/>
            <w:vMerge w:val="restart"/>
          </w:tcPr>
          <w:p w14:paraId="7901A58A" w14:textId="77777777" w:rsidR="00FC4C4C" w:rsidRPr="0099700A" w:rsidRDefault="00FC4C4C" w:rsidP="00724B51">
            <w:pPr>
              <w:autoSpaceDE w:val="0"/>
              <w:autoSpaceDN w:val="0"/>
              <w:adjustRightInd w:val="0"/>
              <w:rPr>
                <w:rFonts w:ascii="Arial" w:eastAsia="Calibri" w:hAnsi="Arial" w:cs="Arial"/>
                <w:color w:val="000000"/>
              </w:rPr>
            </w:pPr>
            <w:r w:rsidRPr="0099700A">
              <w:rPr>
                <w:rFonts w:ascii="Arial" w:eastAsia="Calibri" w:hAnsi="Arial" w:cs="Arial"/>
                <w:color w:val="000000"/>
              </w:rPr>
              <w:t>Patients/public</w:t>
            </w:r>
          </w:p>
        </w:tc>
        <w:tc>
          <w:tcPr>
            <w:tcW w:w="1216" w:type="dxa"/>
            <w:shd w:val="clear" w:color="auto" w:fill="EEECE1"/>
          </w:tcPr>
          <w:p w14:paraId="4F38A88E" w14:textId="77777777" w:rsidR="00FC4C4C" w:rsidRPr="0099700A" w:rsidRDefault="00FC4C4C" w:rsidP="00724B51">
            <w:pPr>
              <w:autoSpaceDE w:val="0"/>
              <w:autoSpaceDN w:val="0"/>
              <w:adjustRightInd w:val="0"/>
              <w:rPr>
                <w:rFonts w:ascii="Arial" w:eastAsia="Calibri" w:hAnsi="Arial" w:cs="Arial"/>
                <w:color w:val="000000"/>
              </w:rPr>
            </w:pPr>
            <w:r w:rsidRPr="0099700A">
              <w:rPr>
                <w:rFonts w:ascii="Arial" w:eastAsia="Calibri" w:hAnsi="Arial" w:cs="Arial"/>
                <w:color w:val="000000"/>
              </w:rPr>
              <w:t xml:space="preserve">Disabled </w:t>
            </w:r>
          </w:p>
        </w:tc>
        <w:tc>
          <w:tcPr>
            <w:tcW w:w="1246" w:type="dxa"/>
            <w:shd w:val="clear" w:color="auto" w:fill="EEECE1"/>
          </w:tcPr>
          <w:p w14:paraId="4BA71F16"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38.1%</w:t>
            </w:r>
          </w:p>
        </w:tc>
        <w:tc>
          <w:tcPr>
            <w:tcW w:w="1246" w:type="dxa"/>
            <w:shd w:val="clear" w:color="auto" w:fill="EEECE1"/>
          </w:tcPr>
          <w:p w14:paraId="65605E1D"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35.6%</w:t>
            </w:r>
          </w:p>
        </w:tc>
        <w:tc>
          <w:tcPr>
            <w:tcW w:w="1246" w:type="dxa"/>
            <w:shd w:val="clear" w:color="auto" w:fill="EEECE1"/>
          </w:tcPr>
          <w:p w14:paraId="3D07778B"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26.5%</w:t>
            </w:r>
          </w:p>
        </w:tc>
        <w:tc>
          <w:tcPr>
            <w:tcW w:w="1246" w:type="dxa"/>
            <w:shd w:val="clear" w:color="auto" w:fill="EEECE1"/>
          </w:tcPr>
          <w:p w14:paraId="6281F6BF"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33.8%</w:t>
            </w:r>
          </w:p>
        </w:tc>
        <w:tc>
          <w:tcPr>
            <w:tcW w:w="1246" w:type="dxa"/>
            <w:shd w:val="clear" w:color="auto" w:fill="EEECE1"/>
          </w:tcPr>
          <w:p w14:paraId="2EE3E2C4"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31.6%</w:t>
            </w:r>
          </w:p>
        </w:tc>
      </w:tr>
      <w:tr w:rsidR="00FC4C4C" w:rsidRPr="0099700A" w14:paraId="7D777D3B" w14:textId="77777777" w:rsidTr="00724B51">
        <w:trPr>
          <w:trHeight w:val="90"/>
        </w:trPr>
        <w:tc>
          <w:tcPr>
            <w:tcW w:w="1570" w:type="dxa"/>
            <w:vMerge/>
          </w:tcPr>
          <w:p w14:paraId="69400E93" w14:textId="77777777" w:rsidR="00FC4C4C" w:rsidRPr="0099700A" w:rsidRDefault="00FC4C4C" w:rsidP="00724B51">
            <w:pPr>
              <w:autoSpaceDE w:val="0"/>
              <w:autoSpaceDN w:val="0"/>
              <w:adjustRightInd w:val="0"/>
              <w:rPr>
                <w:rFonts w:ascii="Arial" w:eastAsia="Calibri" w:hAnsi="Arial" w:cs="Arial"/>
                <w:color w:val="FF0000"/>
              </w:rPr>
            </w:pPr>
          </w:p>
        </w:tc>
        <w:tc>
          <w:tcPr>
            <w:tcW w:w="1216" w:type="dxa"/>
          </w:tcPr>
          <w:p w14:paraId="597BFF08" w14:textId="77777777" w:rsidR="00FC4C4C" w:rsidRPr="0099700A" w:rsidRDefault="00FC4C4C" w:rsidP="00724B51">
            <w:pPr>
              <w:autoSpaceDE w:val="0"/>
              <w:autoSpaceDN w:val="0"/>
              <w:adjustRightInd w:val="0"/>
              <w:rPr>
                <w:rFonts w:ascii="Arial" w:eastAsia="Calibri" w:hAnsi="Arial" w:cs="Arial"/>
                <w:color w:val="FF0000"/>
              </w:rPr>
            </w:pPr>
            <w:r w:rsidRPr="0099700A">
              <w:rPr>
                <w:rFonts w:ascii="Arial" w:eastAsia="Calibri" w:hAnsi="Arial" w:cs="Arial"/>
                <w:color w:val="000000"/>
              </w:rPr>
              <w:t>Non-disabled</w:t>
            </w:r>
          </w:p>
        </w:tc>
        <w:tc>
          <w:tcPr>
            <w:tcW w:w="1246" w:type="dxa"/>
          </w:tcPr>
          <w:p w14:paraId="04F3C9C0"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29.9%</w:t>
            </w:r>
          </w:p>
        </w:tc>
        <w:tc>
          <w:tcPr>
            <w:tcW w:w="1246" w:type="dxa"/>
          </w:tcPr>
          <w:p w14:paraId="178F772F"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28.0%</w:t>
            </w:r>
          </w:p>
        </w:tc>
        <w:tc>
          <w:tcPr>
            <w:tcW w:w="1246" w:type="dxa"/>
          </w:tcPr>
          <w:p w14:paraId="75DC14E5"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25.0%</w:t>
            </w:r>
          </w:p>
        </w:tc>
        <w:tc>
          <w:tcPr>
            <w:tcW w:w="1246" w:type="dxa"/>
          </w:tcPr>
          <w:p w14:paraId="171A98B2"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24.7%</w:t>
            </w:r>
          </w:p>
        </w:tc>
        <w:tc>
          <w:tcPr>
            <w:tcW w:w="1246" w:type="dxa"/>
          </w:tcPr>
          <w:p w14:paraId="72608FBF" w14:textId="77777777" w:rsidR="00FC4C4C" w:rsidRPr="0099700A" w:rsidRDefault="00FC4C4C" w:rsidP="00724B51">
            <w:pPr>
              <w:autoSpaceDE w:val="0"/>
              <w:autoSpaceDN w:val="0"/>
              <w:adjustRightInd w:val="0"/>
              <w:jc w:val="center"/>
              <w:rPr>
                <w:rFonts w:ascii="Arial" w:eastAsia="Calibri" w:hAnsi="Arial" w:cs="Arial"/>
                <w:color w:val="000000"/>
              </w:rPr>
            </w:pPr>
            <w:r w:rsidRPr="0099700A">
              <w:rPr>
                <w:rFonts w:ascii="Arial" w:eastAsia="Calibri" w:hAnsi="Arial" w:cs="Arial"/>
                <w:color w:val="000000"/>
              </w:rPr>
              <w:t>28.3%</w:t>
            </w:r>
          </w:p>
        </w:tc>
      </w:tr>
    </w:tbl>
    <w:p w14:paraId="6C0C4188"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2D3AFD69" w14:textId="77777777" w:rsidR="00FC4C4C" w:rsidRPr="00407B49" w:rsidRDefault="00FC4C4C" w:rsidP="00FC4C4C">
      <w:pPr>
        <w:pStyle w:val="ListParagraph"/>
        <w:numPr>
          <w:ilvl w:val="0"/>
          <w:numId w:val="8"/>
        </w:numPr>
        <w:autoSpaceDE w:val="0"/>
        <w:autoSpaceDN w:val="0"/>
        <w:adjustRightInd w:val="0"/>
        <w:rPr>
          <w:rFonts w:ascii="Arial" w:eastAsia="Calibri" w:hAnsi="Arial" w:cs="Arial"/>
          <w:color w:val="FF0000"/>
          <w:sz w:val="22"/>
          <w:szCs w:val="22"/>
        </w:rPr>
      </w:pPr>
      <w:r w:rsidRPr="0099700A">
        <w:rPr>
          <w:rFonts w:ascii="Arial" w:eastAsia="Calibri" w:hAnsi="Arial" w:cs="Arial"/>
          <w:color w:val="000000"/>
          <w:sz w:val="22"/>
          <w:szCs w:val="22"/>
        </w:rPr>
        <w:t>Increase for disabled staff in 2022 for manager, and decline for other colleagues, patients and public. Our ‘No Excuse for Abuse’ campaign will support the improvements, as highlighted in WRES indicator 5, having also been supported by our executive team.</w:t>
      </w:r>
    </w:p>
    <w:p w14:paraId="4B187A7D" w14:textId="77777777" w:rsidR="00FC4C4C" w:rsidRPr="0099700A" w:rsidRDefault="00FC4C4C" w:rsidP="00FC4C4C">
      <w:pPr>
        <w:pStyle w:val="ListParagraph"/>
        <w:numPr>
          <w:ilvl w:val="0"/>
          <w:numId w:val="8"/>
        </w:numPr>
        <w:autoSpaceDE w:val="0"/>
        <w:autoSpaceDN w:val="0"/>
        <w:adjustRightInd w:val="0"/>
        <w:rPr>
          <w:rFonts w:ascii="Arial" w:eastAsia="Calibri" w:hAnsi="Arial" w:cs="Arial"/>
          <w:color w:val="FF0000"/>
          <w:sz w:val="22"/>
          <w:szCs w:val="22"/>
        </w:rPr>
      </w:pPr>
      <w:r>
        <w:rPr>
          <w:rFonts w:ascii="Arial" w:eastAsia="Calibri" w:hAnsi="Arial" w:cs="Arial"/>
          <w:color w:val="000000"/>
          <w:sz w:val="22"/>
          <w:szCs w:val="22"/>
        </w:rPr>
        <w:t>Manager training programmes will need to highlight the ability to have difficult conversations as well as the importance of supporting colleagues with reasonable adjustments.</w:t>
      </w:r>
    </w:p>
    <w:p w14:paraId="051FE2FB" w14:textId="77777777" w:rsidR="00FC4C4C" w:rsidRPr="0099700A" w:rsidRDefault="00FC4C4C" w:rsidP="00FC4C4C">
      <w:pPr>
        <w:autoSpaceDE w:val="0"/>
        <w:autoSpaceDN w:val="0"/>
        <w:adjustRightInd w:val="0"/>
        <w:spacing w:after="0" w:line="240" w:lineRule="auto"/>
        <w:rPr>
          <w:rFonts w:ascii="Arial" w:eastAsia="Calibri" w:hAnsi="Arial" w:cs="Arial"/>
          <w:color w:val="FF0000"/>
        </w:rPr>
      </w:pPr>
    </w:p>
    <w:p w14:paraId="33537B4B"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 xml:space="preserve">WDES Indicator 4b - </w:t>
      </w:r>
      <w:r w:rsidRPr="0099700A">
        <w:rPr>
          <w:rFonts w:ascii="Arial" w:eastAsia="Calibri" w:hAnsi="Arial" w:cs="Arial"/>
        </w:rPr>
        <w:t>Percentage of Disabled staff compared to non-disabled staff saying that the last time they experienced harassment, bullying or abuse at work, they or a colleague reported it.</w:t>
      </w:r>
    </w:p>
    <w:tbl>
      <w:tblPr>
        <w:tblStyle w:val="TableGrid1"/>
        <w:tblW w:w="9351" w:type="dxa"/>
        <w:tblLook w:val="04A0" w:firstRow="1" w:lastRow="0" w:firstColumn="1" w:lastColumn="0" w:noHBand="0" w:noVBand="1"/>
      </w:tblPr>
      <w:tblGrid>
        <w:gridCol w:w="1980"/>
        <w:gridCol w:w="1049"/>
        <w:gridCol w:w="1049"/>
        <w:gridCol w:w="1049"/>
        <w:gridCol w:w="1049"/>
        <w:gridCol w:w="1049"/>
        <w:gridCol w:w="2126"/>
      </w:tblGrid>
      <w:tr w:rsidR="00FC4C4C" w:rsidRPr="0099700A" w14:paraId="43CFB7D4" w14:textId="77777777" w:rsidTr="00724B51">
        <w:tc>
          <w:tcPr>
            <w:tcW w:w="1980" w:type="dxa"/>
            <w:shd w:val="clear" w:color="auto" w:fill="EEECE1"/>
          </w:tcPr>
          <w:p w14:paraId="24ADCA5C" w14:textId="77777777" w:rsidR="00FC4C4C" w:rsidRPr="0099700A" w:rsidRDefault="00FC4C4C" w:rsidP="00724B51">
            <w:pPr>
              <w:autoSpaceDE w:val="0"/>
              <w:autoSpaceDN w:val="0"/>
              <w:adjustRightInd w:val="0"/>
              <w:rPr>
                <w:rFonts w:ascii="Arial" w:eastAsia="Calibri" w:hAnsi="Arial" w:cs="Arial"/>
              </w:rPr>
            </w:pPr>
          </w:p>
        </w:tc>
        <w:tc>
          <w:tcPr>
            <w:tcW w:w="1049" w:type="dxa"/>
            <w:shd w:val="clear" w:color="auto" w:fill="EEECE1"/>
          </w:tcPr>
          <w:p w14:paraId="3A38E44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1049" w:type="dxa"/>
            <w:shd w:val="clear" w:color="auto" w:fill="EEECE1"/>
          </w:tcPr>
          <w:p w14:paraId="339AE5E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1049" w:type="dxa"/>
            <w:shd w:val="clear" w:color="auto" w:fill="EEECE1"/>
          </w:tcPr>
          <w:p w14:paraId="58732596"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049" w:type="dxa"/>
            <w:shd w:val="clear" w:color="auto" w:fill="EEECE1"/>
          </w:tcPr>
          <w:p w14:paraId="5475D4B1"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049" w:type="dxa"/>
            <w:shd w:val="clear" w:color="auto" w:fill="EEECE1"/>
          </w:tcPr>
          <w:p w14:paraId="476D650A"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2126" w:type="dxa"/>
            <w:shd w:val="clear" w:color="auto" w:fill="EEECE1"/>
          </w:tcPr>
          <w:p w14:paraId="4ACA0933"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b/>
                <w:bCs/>
              </w:rPr>
              <w:t>Trend</w:t>
            </w:r>
          </w:p>
        </w:tc>
      </w:tr>
      <w:tr w:rsidR="00FC4C4C" w:rsidRPr="0099700A" w14:paraId="0D167E54" w14:textId="77777777" w:rsidTr="00724B51">
        <w:trPr>
          <w:trHeight w:val="359"/>
        </w:trPr>
        <w:tc>
          <w:tcPr>
            <w:tcW w:w="1980" w:type="dxa"/>
            <w:tcBorders>
              <w:bottom w:val="single" w:sz="4" w:space="0" w:color="auto"/>
            </w:tcBorders>
          </w:tcPr>
          <w:p w14:paraId="12CC12BD"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 xml:space="preserve">Disabled </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39F7A484"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43.1%</w:t>
            </w:r>
          </w:p>
        </w:tc>
        <w:tc>
          <w:tcPr>
            <w:tcW w:w="1049" w:type="dxa"/>
            <w:tcBorders>
              <w:top w:val="single" w:sz="4" w:space="0" w:color="000000"/>
              <w:left w:val="single" w:sz="4" w:space="0" w:color="000000"/>
              <w:bottom w:val="single" w:sz="4" w:space="0" w:color="000000"/>
              <w:right w:val="single" w:sz="12" w:space="0" w:color="000000"/>
            </w:tcBorders>
            <w:shd w:val="clear" w:color="auto" w:fill="auto"/>
          </w:tcPr>
          <w:p w14:paraId="6C6F3D35"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43.2%</w:t>
            </w:r>
          </w:p>
        </w:tc>
        <w:tc>
          <w:tcPr>
            <w:tcW w:w="1049" w:type="dxa"/>
            <w:tcBorders>
              <w:top w:val="single" w:sz="4" w:space="0" w:color="000000"/>
              <w:left w:val="single" w:sz="12" w:space="0" w:color="000000"/>
              <w:bottom w:val="single" w:sz="4" w:space="0" w:color="000000"/>
              <w:right w:val="single" w:sz="4" w:space="0" w:color="000000"/>
            </w:tcBorders>
            <w:shd w:val="clear" w:color="auto" w:fill="auto"/>
          </w:tcPr>
          <w:p w14:paraId="028C119E"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49.7%</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528C9B83"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51.5%</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7736C482" w14:textId="77777777" w:rsidR="00FC4C4C" w:rsidRPr="0099700A" w:rsidRDefault="00FC4C4C" w:rsidP="00724B51">
            <w:pPr>
              <w:autoSpaceDE w:val="0"/>
              <w:autoSpaceDN w:val="0"/>
              <w:adjustRightInd w:val="0"/>
              <w:spacing w:line="360" w:lineRule="auto"/>
              <w:jc w:val="center"/>
              <w:rPr>
                <w:rFonts w:ascii="Arial" w:eastAsia="Calibri" w:hAnsi="Arial" w:cs="Arial"/>
                <w:b/>
                <w:bCs/>
              </w:rPr>
            </w:pPr>
            <w:r w:rsidRPr="0099700A">
              <w:rPr>
                <w:rFonts w:ascii="Arial" w:eastAsia="Calibri" w:hAnsi="Arial" w:cs="Arial"/>
                <w:b/>
                <w:bCs/>
                <w:color w:val="FF0000"/>
              </w:rPr>
              <w:t>48.0%</w:t>
            </w:r>
          </w:p>
        </w:tc>
        <w:tc>
          <w:tcPr>
            <w:tcW w:w="2126" w:type="dxa"/>
          </w:tcPr>
          <w:p w14:paraId="0B1DB0DB"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28566BD0" wp14:editId="1672D592">
                  <wp:extent cx="882015" cy="226686"/>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01648" cy="231732"/>
                          </a:xfrm>
                          <a:prstGeom prst="rect">
                            <a:avLst/>
                          </a:prstGeom>
                        </pic:spPr>
                      </pic:pic>
                    </a:graphicData>
                  </a:graphic>
                </wp:inline>
              </w:drawing>
            </w:r>
          </w:p>
        </w:tc>
      </w:tr>
      <w:tr w:rsidR="00FC4C4C" w:rsidRPr="0099700A" w14:paraId="300A4604" w14:textId="77777777" w:rsidTr="00724B51">
        <w:tc>
          <w:tcPr>
            <w:tcW w:w="1980" w:type="dxa"/>
            <w:tcBorders>
              <w:right w:val="single" w:sz="4" w:space="0" w:color="auto"/>
            </w:tcBorders>
          </w:tcPr>
          <w:p w14:paraId="32F91BE8"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Non-disabled</w:t>
            </w:r>
          </w:p>
        </w:tc>
        <w:tc>
          <w:tcPr>
            <w:tcW w:w="1049" w:type="dxa"/>
            <w:tcBorders>
              <w:top w:val="single" w:sz="4" w:space="0" w:color="000000"/>
              <w:left w:val="single" w:sz="4" w:space="0" w:color="auto"/>
              <w:bottom w:val="single" w:sz="4" w:space="0" w:color="000000"/>
              <w:right w:val="single" w:sz="12" w:space="0" w:color="000000"/>
            </w:tcBorders>
            <w:shd w:val="clear" w:color="auto" w:fill="auto"/>
          </w:tcPr>
          <w:p w14:paraId="19B06063"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42.7%</w:t>
            </w:r>
          </w:p>
        </w:tc>
        <w:tc>
          <w:tcPr>
            <w:tcW w:w="1049" w:type="dxa"/>
            <w:tcBorders>
              <w:top w:val="single" w:sz="4" w:space="0" w:color="000000"/>
              <w:left w:val="single" w:sz="4" w:space="0" w:color="000000"/>
              <w:bottom w:val="single" w:sz="4" w:space="0" w:color="000000"/>
              <w:right w:val="single" w:sz="12" w:space="0" w:color="000000"/>
            </w:tcBorders>
            <w:shd w:val="clear" w:color="auto" w:fill="auto"/>
          </w:tcPr>
          <w:p w14:paraId="1E6E65EC"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49.7%</w:t>
            </w:r>
          </w:p>
        </w:tc>
        <w:tc>
          <w:tcPr>
            <w:tcW w:w="1049" w:type="dxa"/>
            <w:tcBorders>
              <w:top w:val="single" w:sz="4" w:space="0" w:color="000000"/>
              <w:left w:val="single" w:sz="12" w:space="0" w:color="000000"/>
              <w:bottom w:val="single" w:sz="4" w:space="0" w:color="000000"/>
              <w:right w:val="single" w:sz="4" w:space="0" w:color="000000"/>
            </w:tcBorders>
            <w:shd w:val="clear" w:color="auto" w:fill="auto"/>
          </w:tcPr>
          <w:p w14:paraId="0C48CBCE"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49.1%</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5FBF52BC"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43.7%</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49D5D947"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48.3%</w:t>
            </w:r>
          </w:p>
        </w:tc>
        <w:tc>
          <w:tcPr>
            <w:tcW w:w="2126" w:type="dxa"/>
          </w:tcPr>
          <w:p w14:paraId="2BFD509C"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4E77EEB2" wp14:editId="6A0D0664">
                  <wp:extent cx="1084442" cy="20955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70884" cy="226253"/>
                          </a:xfrm>
                          <a:prstGeom prst="rect">
                            <a:avLst/>
                          </a:prstGeom>
                        </pic:spPr>
                      </pic:pic>
                    </a:graphicData>
                  </a:graphic>
                </wp:inline>
              </w:drawing>
            </w:r>
          </w:p>
        </w:tc>
      </w:tr>
    </w:tbl>
    <w:p w14:paraId="152CDD06"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7527F349" w14:textId="77777777" w:rsidR="00FC4C4C" w:rsidRPr="00407B49" w:rsidRDefault="00FC4C4C" w:rsidP="00FC4C4C">
      <w:pPr>
        <w:pStyle w:val="ListParagraph"/>
        <w:numPr>
          <w:ilvl w:val="0"/>
          <w:numId w:val="8"/>
        </w:numPr>
        <w:autoSpaceDE w:val="0"/>
        <w:autoSpaceDN w:val="0"/>
        <w:adjustRightInd w:val="0"/>
        <w:rPr>
          <w:rFonts w:ascii="Arial" w:eastAsia="Calibri" w:hAnsi="Arial" w:cs="Arial"/>
          <w:sz w:val="22"/>
          <w:szCs w:val="22"/>
        </w:rPr>
      </w:pPr>
      <w:r w:rsidRPr="0099700A">
        <w:rPr>
          <w:rFonts w:ascii="Arial" w:eastAsia="Calibri" w:hAnsi="Arial" w:cs="Arial"/>
          <w:sz w:val="22"/>
          <w:szCs w:val="22"/>
        </w:rPr>
        <w:t xml:space="preserve">A decline for disabled staff in 2022 however, in parallel with non-disabled staff. </w:t>
      </w:r>
      <w:r w:rsidRPr="0099700A">
        <w:rPr>
          <w:rFonts w:ascii="Arial" w:eastAsia="Calibri" w:hAnsi="Arial" w:cs="Arial"/>
          <w:color w:val="000000"/>
          <w:sz w:val="22"/>
          <w:szCs w:val="22"/>
        </w:rPr>
        <w:t>Our ‘No Excuse for Abuse’ campaign will support the improvements, as highlighted in WRES indicator 5, this is also supported by our executive team.</w:t>
      </w:r>
    </w:p>
    <w:p w14:paraId="18AD3BFF" w14:textId="77777777" w:rsidR="00FC4C4C" w:rsidRPr="0099700A" w:rsidRDefault="00FC4C4C" w:rsidP="00FC4C4C">
      <w:pPr>
        <w:pStyle w:val="ListParagraph"/>
        <w:numPr>
          <w:ilvl w:val="0"/>
          <w:numId w:val="8"/>
        </w:numPr>
        <w:autoSpaceDE w:val="0"/>
        <w:autoSpaceDN w:val="0"/>
        <w:adjustRightInd w:val="0"/>
        <w:rPr>
          <w:rFonts w:ascii="Arial" w:eastAsia="Calibri" w:hAnsi="Arial" w:cs="Arial"/>
          <w:sz w:val="22"/>
          <w:szCs w:val="22"/>
        </w:rPr>
      </w:pPr>
      <w:r>
        <w:rPr>
          <w:rFonts w:ascii="Arial" w:eastAsia="Calibri" w:hAnsi="Arial" w:cs="Arial"/>
          <w:sz w:val="22"/>
          <w:szCs w:val="22"/>
        </w:rPr>
        <w:t>The Trust’s FTSUG team has also been strengthened and a new FTSUG policy is under development.</w:t>
      </w:r>
    </w:p>
    <w:p w14:paraId="48E35E82" w14:textId="77777777" w:rsidR="00FC4C4C" w:rsidRPr="0099700A" w:rsidRDefault="00FC4C4C" w:rsidP="00FC4C4C">
      <w:pPr>
        <w:autoSpaceDE w:val="0"/>
        <w:autoSpaceDN w:val="0"/>
        <w:adjustRightInd w:val="0"/>
        <w:spacing w:after="0" w:line="240" w:lineRule="auto"/>
        <w:rPr>
          <w:rFonts w:ascii="Arial" w:eastAsia="Calibri" w:hAnsi="Arial" w:cs="Arial"/>
          <w:b/>
          <w:bCs/>
        </w:rPr>
      </w:pPr>
    </w:p>
    <w:p w14:paraId="55AD75E5"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WDES Indicator 5</w:t>
      </w:r>
      <w:r w:rsidRPr="0099700A">
        <w:rPr>
          <w:rFonts w:ascii="Arial" w:eastAsia="Calibri" w:hAnsi="Arial" w:cs="Arial"/>
        </w:rPr>
        <w:t xml:space="preserve"> - Percentage of Disabled staff compared to non-disabled staff believing that the Trust provides equal opportunities for career progression or promotion.</w:t>
      </w:r>
    </w:p>
    <w:tbl>
      <w:tblPr>
        <w:tblStyle w:val="TableGrid1"/>
        <w:tblW w:w="9351" w:type="dxa"/>
        <w:tblLook w:val="04A0" w:firstRow="1" w:lastRow="0" w:firstColumn="1" w:lastColumn="0" w:noHBand="0" w:noVBand="1"/>
      </w:tblPr>
      <w:tblGrid>
        <w:gridCol w:w="1495"/>
        <w:gridCol w:w="1149"/>
        <w:gridCol w:w="1150"/>
        <w:gridCol w:w="1149"/>
        <w:gridCol w:w="1150"/>
        <w:gridCol w:w="1150"/>
        <w:gridCol w:w="2108"/>
      </w:tblGrid>
      <w:tr w:rsidR="00FC4C4C" w:rsidRPr="0099700A" w14:paraId="76DA9210" w14:textId="77777777" w:rsidTr="00724B51">
        <w:tc>
          <w:tcPr>
            <w:tcW w:w="1495" w:type="dxa"/>
            <w:shd w:val="clear" w:color="auto" w:fill="EEECE1"/>
          </w:tcPr>
          <w:p w14:paraId="7A90B5C5" w14:textId="77777777" w:rsidR="00FC4C4C" w:rsidRPr="0099700A" w:rsidRDefault="00FC4C4C" w:rsidP="00724B51">
            <w:pPr>
              <w:autoSpaceDE w:val="0"/>
              <w:autoSpaceDN w:val="0"/>
              <w:adjustRightInd w:val="0"/>
              <w:rPr>
                <w:rFonts w:ascii="Arial" w:eastAsia="Calibri" w:hAnsi="Arial" w:cs="Arial"/>
              </w:rPr>
            </w:pPr>
          </w:p>
        </w:tc>
        <w:tc>
          <w:tcPr>
            <w:tcW w:w="1149" w:type="dxa"/>
            <w:shd w:val="clear" w:color="auto" w:fill="EEECE1"/>
          </w:tcPr>
          <w:p w14:paraId="1C9A2FC5"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1150" w:type="dxa"/>
            <w:shd w:val="clear" w:color="auto" w:fill="EEECE1"/>
          </w:tcPr>
          <w:p w14:paraId="62274CF1"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1149" w:type="dxa"/>
            <w:shd w:val="clear" w:color="auto" w:fill="EEECE1"/>
          </w:tcPr>
          <w:p w14:paraId="18BF921E"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150" w:type="dxa"/>
            <w:shd w:val="clear" w:color="auto" w:fill="EEECE1"/>
          </w:tcPr>
          <w:p w14:paraId="08555734"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150" w:type="dxa"/>
            <w:shd w:val="clear" w:color="auto" w:fill="EEECE1"/>
          </w:tcPr>
          <w:p w14:paraId="4CFF123F"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2108" w:type="dxa"/>
            <w:shd w:val="clear" w:color="auto" w:fill="EEECE1"/>
          </w:tcPr>
          <w:p w14:paraId="706BE91B"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b/>
                <w:bCs/>
              </w:rPr>
              <w:t>Trend</w:t>
            </w:r>
          </w:p>
        </w:tc>
      </w:tr>
      <w:tr w:rsidR="00FC4C4C" w:rsidRPr="0099700A" w14:paraId="5D4EFECF" w14:textId="77777777" w:rsidTr="00724B51">
        <w:tc>
          <w:tcPr>
            <w:tcW w:w="1495" w:type="dxa"/>
          </w:tcPr>
          <w:p w14:paraId="3A226753"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 xml:space="preserve">Disabled </w:t>
            </w:r>
          </w:p>
        </w:tc>
        <w:tc>
          <w:tcPr>
            <w:tcW w:w="1149" w:type="dxa"/>
            <w:tcBorders>
              <w:top w:val="single" w:sz="4" w:space="0" w:color="000000"/>
              <w:left w:val="single" w:sz="12" w:space="0" w:color="000000"/>
              <w:bottom w:val="single" w:sz="4" w:space="0" w:color="000000"/>
              <w:right w:val="single" w:sz="12" w:space="0" w:color="000000"/>
            </w:tcBorders>
            <w:shd w:val="clear" w:color="auto" w:fill="auto"/>
          </w:tcPr>
          <w:p w14:paraId="54E2AA33"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46.2%</w:t>
            </w:r>
          </w:p>
        </w:tc>
        <w:tc>
          <w:tcPr>
            <w:tcW w:w="1150" w:type="dxa"/>
            <w:tcBorders>
              <w:top w:val="single" w:sz="4" w:space="0" w:color="000000"/>
              <w:left w:val="single" w:sz="4" w:space="0" w:color="000000"/>
              <w:bottom w:val="single" w:sz="4" w:space="0" w:color="000000"/>
              <w:right w:val="single" w:sz="12" w:space="0" w:color="000000"/>
            </w:tcBorders>
            <w:shd w:val="clear" w:color="auto" w:fill="auto"/>
          </w:tcPr>
          <w:p w14:paraId="16A85892"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48.9%</w:t>
            </w:r>
          </w:p>
        </w:tc>
        <w:tc>
          <w:tcPr>
            <w:tcW w:w="1149" w:type="dxa"/>
            <w:tcBorders>
              <w:top w:val="single" w:sz="4" w:space="0" w:color="000000"/>
              <w:left w:val="single" w:sz="12" w:space="0" w:color="000000"/>
              <w:bottom w:val="single" w:sz="4" w:space="0" w:color="000000"/>
              <w:right w:val="single" w:sz="4" w:space="0" w:color="000000"/>
            </w:tcBorders>
            <w:shd w:val="clear" w:color="auto" w:fill="auto"/>
          </w:tcPr>
          <w:p w14:paraId="535A9E0C"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49.8%</w:t>
            </w:r>
          </w:p>
        </w:tc>
        <w:tc>
          <w:tcPr>
            <w:tcW w:w="1150" w:type="dxa"/>
            <w:tcBorders>
              <w:top w:val="single" w:sz="4" w:space="0" w:color="000000"/>
              <w:left w:val="single" w:sz="12" w:space="0" w:color="000000"/>
              <w:bottom w:val="single" w:sz="4" w:space="0" w:color="000000"/>
              <w:right w:val="single" w:sz="12" w:space="0" w:color="000000"/>
            </w:tcBorders>
            <w:shd w:val="clear" w:color="auto" w:fill="auto"/>
          </w:tcPr>
          <w:p w14:paraId="566E175D"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49.7%</w:t>
            </w:r>
          </w:p>
        </w:tc>
        <w:tc>
          <w:tcPr>
            <w:tcW w:w="1150" w:type="dxa"/>
            <w:tcBorders>
              <w:top w:val="single" w:sz="4" w:space="0" w:color="000000"/>
              <w:left w:val="single" w:sz="12" w:space="0" w:color="000000"/>
              <w:bottom w:val="single" w:sz="4" w:space="0" w:color="000000"/>
              <w:right w:val="single" w:sz="12" w:space="0" w:color="000000"/>
            </w:tcBorders>
            <w:shd w:val="clear" w:color="auto" w:fill="auto"/>
          </w:tcPr>
          <w:p w14:paraId="58831EEE" w14:textId="77777777" w:rsidR="00FC4C4C" w:rsidRPr="0099700A" w:rsidRDefault="00FC4C4C" w:rsidP="00724B51">
            <w:pPr>
              <w:autoSpaceDE w:val="0"/>
              <w:autoSpaceDN w:val="0"/>
              <w:adjustRightInd w:val="0"/>
              <w:spacing w:line="360" w:lineRule="auto"/>
              <w:jc w:val="center"/>
              <w:rPr>
                <w:rFonts w:ascii="Arial" w:eastAsia="Calibri" w:hAnsi="Arial" w:cs="Arial"/>
                <w:b/>
                <w:bCs/>
                <w:color w:val="9BBB59"/>
              </w:rPr>
            </w:pPr>
            <w:r w:rsidRPr="0099700A">
              <w:rPr>
                <w:rFonts w:ascii="Arial" w:eastAsia="Calibri" w:hAnsi="Arial" w:cs="Arial"/>
                <w:b/>
                <w:bCs/>
                <w:color w:val="FF0000"/>
              </w:rPr>
              <w:t>48.7%</w:t>
            </w:r>
          </w:p>
        </w:tc>
        <w:tc>
          <w:tcPr>
            <w:tcW w:w="2108" w:type="dxa"/>
          </w:tcPr>
          <w:p w14:paraId="394669A0"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10BB2178" wp14:editId="75FFA4B9">
                  <wp:extent cx="979813" cy="2156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08129" cy="221893"/>
                          </a:xfrm>
                          <a:prstGeom prst="rect">
                            <a:avLst/>
                          </a:prstGeom>
                        </pic:spPr>
                      </pic:pic>
                    </a:graphicData>
                  </a:graphic>
                </wp:inline>
              </w:drawing>
            </w:r>
          </w:p>
        </w:tc>
      </w:tr>
      <w:tr w:rsidR="00FC4C4C" w:rsidRPr="0099700A" w14:paraId="21F2C3FF" w14:textId="77777777" w:rsidTr="00724B51">
        <w:trPr>
          <w:trHeight w:val="383"/>
        </w:trPr>
        <w:tc>
          <w:tcPr>
            <w:tcW w:w="1495" w:type="dxa"/>
          </w:tcPr>
          <w:p w14:paraId="3A922351"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Non-disabled</w:t>
            </w:r>
          </w:p>
        </w:tc>
        <w:tc>
          <w:tcPr>
            <w:tcW w:w="1149" w:type="dxa"/>
            <w:tcBorders>
              <w:top w:val="single" w:sz="4" w:space="0" w:color="000000"/>
              <w:left w:val="single" w:sz="12" w:space="0" w:color="000000"/>
              <w:bottom w:val="single" w:sz="4" w:space="0" w:color="000000"/>
              <w:right w:val="single" w:sz="12" w:space="0" w:color="000000"/>
            </w:tcBorders>
            <w:shd w:val="clear" w:color="auto" w:fill="auto"/>
          </w:tcPr>
          <w:p w14:paraId="1361A548"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51.9%</w:t>
            </w:r>
          </w:p>
        </w:tc>
        <w:tc>
          <w:tcPr>
            <w:tcW w:w="1150" w:type="dxa"/>
            <w:tcBorders>
              <w:top w:val="single" w:sz="4" w:space="0" w:color="000000"/>
              <w:left w:val="single" w:sz="4" w:space="0" w:color="000000"/>
              <w:bottom w:val="single" w:sz="4" w:space="0" w:color="000000"/>
              <w:right w:val="single" w:sz="12" w:space="0" w:color="000000"/>
            </w:tcBorders>
            <w:shd w:val="clear" w:color="auto" w:fill="auto"/>
          </w:tcPr>
          <w:p w14:paraId="240E803E"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bCs/>
              </w:rPr>
              <w:t>55.6%</w:t>
            </w:r>
          </w:p>
        </w:tc>
        <w:tc>
          <w:tcPr>
            <w:tcW w:w="1149" w:type="dxa"/>
            <w:tcBorders>
              <w:top w:val="single" w:sz="4" w:space="0" w:color="000000"/>
              <w:left w:val="single" w:sz="12" w:space="0" w:color="000000"/>
              <w:bottom w:val="single" w:sz="4" w:space="0" w:color="000000"/>
              <w:right w:val="single" w:sz="4" w:space="0" w:color="000000"/>
            </w:tcBorders>
            <w:shd w:val="clear" w:color="auto" w:fill="auto"/>
          </w:tcPr>
          <w:p w14:paraId="5B5A9021"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bCs/>
              </w:rPr>
              <w:t>55.8%</w:t>
            </w:r>
          </w:p>
        </w:tc>
        <w:tc>
          <w:tcPr>
            <w:tcW w:w="1150" w:type="dxa"/>
            <w:tcBorders>
              <w:top w:val="single" w:sz="4" w:space="0" w:color="000000"/>
              <w:left w:val="single" w:sz="12" w:space="0" w:color="000000"/>
              <w:bottom w:val="single" w:sz="4" w:space="0" w:color="000000"/>
              <w:right w:val="single" w:sz="12" w:space="0" w:color="000000"/>
            </w:tcBorders>
            <w:shd w:val="clear" w:color="auto" w:fill="auto"/>
          </w:tcPr>
          <w:p w14:paraId="3C583860"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57.1%</w:t>
            </w:r>
          </w:p>
        </w:tc>
        <w:tc>
          <w:tcPr>
            <w:tcW w:w="1150" w:type="dxa"/>
            <w:tcBorders>
              <w:top w:val="single" w:sz="4" w:space="0" w:color="000000"/>
              <w:left w:val="single" w:sz="12" w:space="0" w:color="000000"/>
              <w:bottom w:val="single" w:sz="4" w:space="0" w:color="000000"/>
              <w:right w:val="single" w:sz="12" w:space="0" w:color="000000"/>
            </w:tcBorders>
            <w:shd w:val="clear" w:color="auto" w:fill="auto"/>
          </w:tcPr>
          <w:p w14:paraId="1F77946B"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57.1%</w:t>
            </w:r>
          </w:p>
        </w:tc>
        <w:tc>
          <w:tcPr>
            <w:tcW w:w="2108" w:type="dxa"/>
          </w:tcPr>
          <w:p w14:paraId="498582AB"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6B5F4CE2" wp14:editId="421567B9">
                  <wp:extent cx="1168770"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84871" cy="251062"/>
                          </a:xfrm>
                          <a:prstGeom prst="rect">
                            <a:avLst/>
                          </a:prstGeom>
                        </pic:spPr>
                      </pic:pic>
                    </a:graphicData>
                  </a:graphic>
                </wp:inline>
              </w:drawing>
            </w:r>
          </w:p>
        </w:tc>
      </w:tr>
    </w:tbl>
    <w:p w14:paraId="7955DA5C" w14:textId="77777777" w:rsidR="00FC4C4C" w:rsidRPr="0099700A" w:rsidRDefault="00FC4C4C" w:rsidP="00FC4C4C">
      <w:pPr>
        <w:autoSpaceDE w:val="0"/>
        <w:autoSpaceDN w:val="0"/>
        <w:adjustRightInd w:val="0"/>
        <w:spacing w:after="0" w:line="240" w:lineRule="auto"/>
        <w:rPr>
          <w:rFonts w:ascii="Arial" w:eastAsia="Calibri" w:hAnsi="Arial" w:cs="Arial"/>
          <w:i/>
          <w:iCs/>
          <w:color w:val="000000"/>
        </w:rPr>
      </w:pPr>
    </w:p>
    <w:p w14:paraId="6DA6FB9F" w14:textId="77777777" w:rsidR="00FC4C4C" w:rsidRDefault="00FC4C4C" w:rsidP="00FC4C4C">
      <w:pPr>
        <w:pStyle w:val="ListParagraph"/>
        <w:numPr>
          <w:ilvl w:val="0"/>
          <w:numId w:val="8"/>
        </w:numPr>
        <w:autoSpaceDE w:val="0"/>
        <w:autoSpaceDN w:val="0"/>
        <w:adjustRightInd w:val="0"/>
        <w:rPr>
          <w:rFonts w:ascii="Arial" w:eastAsia="Calibri" w:hAnsi="Arial" w:cs="Arial"/>
          <w:color w:val="000000"/>
          <w:sz w:val="22"/>
          <w:szCs w:val="22"/>
        </w:rPr>
      </w:pPr>
      <w:r w:rsidRPr="0099700A">
        <w:rPr>
          <w:rFonts w:ascii="Arial" w:eastAsia="Calibri" w:hAnsi="Arial" w:cs="Arial"/>
          <w:color w:val="000000"/>
          <w:sz w:val="22"/>
          <w:szCs w:val="22"/>
        </w:rPr>
        <w:t>A decline for disabled staff in 2022, the introduction of 8 coaches within the Trust will support equal opportunities for career progression or promotion.</w:t>
      </w:r>
    </w:p>
    <w:p w14:paraId="569B68C8" w14:textId="77777777" w:rsidR="007C16FC" w:rsidRPr="007C16FC" w:rsidRDefault="007C16FC" w:rsidP="007C16FC">
      <w:pPr>
        <w:autoSpaceDE w:val="0"/>
        <w:autoSpaceDN w:val="0"/>
        <w:adjustRightInd w:val="0"/>
        <w:rPr>
          <w:rFonts w:ascii="Arial" w:eastAsia="Calibri" w:hAnsi="Arial" w:cs="Arial"/>
          <w:color w:val="000000"/>
        </w:rPr>
      </w:pPr>
    </w:p>
    <w:p w14:paraId="422E6F7D"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WDES indicator 6</w:t>
      </w:r>
      <w:r w:rsidRPr="0099700A">
        <w:rPr>
          <w:rFonts w:ascii="Arial" w:eastAsia="Calibri" w:hAnsi="Arial" w:cs="Arial"/>
        </w:rPr>
        <w:t xml:space="preserve"> - Percentage of Disabled staff compared to non-disabled staff saying that they have felt pressure from their manager to come to work, despite not feeling well enough to perform their duties.</w:t>
      </w:r>
    </w:p>
    <w:tbl>
      <w:tblPr>
        <w:tblStyle w:val="TableGrid1"/>
        <w:tblW w:w="9351" w:type="dxa"/>
        <w:tblLook w:val="04A0" w:firstRow="1" w:lastRow="0" w:firstColumn="1" w:lastColumn="0" w:noHBand="0" w:noVBand="1"/>
      </w:tblPr>
      <w:tblGrid>
        <w:gridCol w:w="1980"/>
        <w:gridCol w:w="1049"/>
        <w:gridCol w:w="1049"/>
        <w:gridCol w:w="1049"/>
        <w:gridCol w:w="1049"/>
        <w:gridCol w:w="1049"/>
        <w:gridCol w:w="2126"/>
      </w:tblGrid>
      <w:tr w:rsidR="00FC4C4C" w:rsidRPr="0099700A" w14:paraId="4DDF36F5" w14:textId="77777777" w:rsidTr="00724B51">
        <w:tc>
          <w:tcPr>
            <w:tcW w:w="1980" w:type="dxa"/>
            <w:shd w:val="clear" w:color="auto" w:fill="EEECE1"/>
          </w:tcPr>
          <w:p w14:paraId="0A77D66B" w14:textId="77777777" w:rsidR="00FC4C4C" w:rsidRPr="0099700A" w:rsidRDefault="00FC4C4C" w:rsidP="00724B51">
            <w:pPr>
              <w:autoSpaceDE w:val="0"/>
              <w:autoSpaceDN w:val="0"/>
              <w:adjustRightInd w:val="0"/>
              <w:rPr>
                <w:rFonts w:ascii="Arial" w:eastAsia="Calibri" w:hAnsi="Arial" w:cs="Arial"/>
              </w:rPr>
            </w:pPr>
          </w:p>
        </w:tc>
        <w:tc>
          <w:tcPr>
            <w:tcW w:w="1049" w:type="dxa"/>
            <w:shd w:val="clear" w:color="auto" w:fill="EEECE1"/>
          </w:tcPr>
          <w:p w14:paraId="32698FB4"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1049" w:type="dxa"/>
            <w:shd w:val="clear" w:color="auto" w:fill="EEECE1"/>
          </w:tcPr>
          <w:p w14:paraId="16BAB526"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1049" w:type="dxa"/>
            <w:shd w:val="clear" w:color="auto" w:fill="EEECE1"/>
          </w:tcPr>
          <w:p w14:paraId="13C43498"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049" w:type="dxa"/>
            <w:shd w:val="clear" w:color="auto" w:fill="EEECE1"/>
          </w:tcPr>
          <w:p w14:paraId="69227120"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049" w:type="dxa"/>
            <w:shd w:val="clear" w:color="auto" w:fill="EEECE1"/>
          </w:tcPr>
          <w:p w14:paraId="695AC485"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2126" w:type="dxa"/>
            <w:shd w:val="clear" w:color="auto" w:fill="EEECE1"/>
          </w:tcPr>
          <w:p w14:paraId="5A3211BC"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b/>
                <w:bCs/>
              </w:rPr>
              <w:t>Trend</w:t>
            </w:r>
          </w:p>
        </w:tc>
      </w:tr>
      <w:tr w:rsidR="00FC4C4C" w:rsidRPr="0099700A" w14:paraId="193C3D21" w14:textId="77777777" w:rsidTr="00724B51">
        <w:trPr>
          <w:trHeight w:val="359"/>
        </w:trPr>
        <w:tc>
          <w:tcPr>
            <w:tcW w:w="1980" w:type="dxa"/>
          </w:tcPr>
          <w:p w14:paraId="074C30CB"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 xml:space="preserve">Disabled </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10F8A2C8"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37.1%</w:t>
            </w:r>
          </w:p>
        </w:tc>
        <w:tc>
          <w:tcPr>
            <w:tcW w:w="1049" w:type="dxa"/>
            <w:tcBorders>
              <w:top w:val="single" w:sz="4" w:space="0" w:color="000000"/>
              <w:left w:val="single" w:sz="4" w:space="0" w:color="000000"/>
              <w:bottom w:val="single" w:sz="4" w:space="0" w:color="000000"/>
              <w:right w:val="single" w:sz="12" w:space="0" w:color="000000"/>
            </w:tcBorders>
            <w:shd w:val="clear" w:color="auto" w:fill="auto"/>
          </w:tcPr>
          <w:p w14:paraId="2D898DA0"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34.6%</w:t>
            </w:r>
          </w:p>
        </w:tc>
        <w:tc>
          <w:tcPr>
            <w:tcW w:w="1049" w:type="dxa"/>
            <w:tcBorders>
              <w:top w:val="single" w:sz="4" w:space="0" w:color="000000"/>
              <w:left w:val="single" w:sz="12" w:space="0" w:color="000000"/>
              <w:bottom w:val="single" w:sz="4" w:space="0" w:color="000000"/>
              <w:right w:val="single" w:sz="4" w:space="0" w:color="000000"/>
            </w:tcBorders>
            <w:shd w:val="clear" w:color="auto" w:fill="auto"/>
          </w:tcPr>
          <w:p w14:paraId="110B0B18"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29.4%</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6FB554A2"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34.6%</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1A7CBE8B" w14:textId="77777777" w:rsidR="00FC4C4C" w:rsidRPr="0099700A" w:rsidRDefault="00FC4C4C" w:rsidP="00724B51">
            <w:pPr>
              <w:autoSpaceDE w:val="0"/>
              <w:autoSpaceDN w:val="0"/>
              <w:adjustRightInd w:val="0"/>
              <w:spacing w:line="360" w:lineRule="auto"/>
              <w:jc w:val="center"/>
              <w:rPr>
                <w:rFonts w:ascii="Arial" w:eastAsia="Calibri" w:hAnsi="Arial" w:cs="Arial"/>
                <w:b/>
                <w:bCs/>
              </w:rPr>
            </w:pPr>
            <w:r w:rsidRPr="0099700A">
              <w:rPr>
                <w:rFonts w:ascii="Arial" w:eastAsia="Calibri" w:hAnsi="Arial" w:cs="Arial"/>
                <w:b/>
                <w:bCs/>
                <w:color w:val="9BBB59"/>
              </w:rPr>
              <w:t>30.3%</w:t>
            </w:r>
          </w:p>
        </w:tc>
        <w:tc>
          <w:tcPr>
            <w:tcW w:w="2126" w:type="dxa"/>
          </w:tcPr>
          <w:p w14:paraId="3EA69F5B"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4A38F428" wp14:editId="05FB751B">
                  <wp:extent cx="1095313" cy="18542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34988" cy="192136"/>
                          </a:xfrm>
                          <a:prstGeom prst="rect">
                            <a:avLst/>
                          </a:prstGeom>
                        </pic:spPr>
                      </pic:pic>
                    </a:graphicData>
                  </a:graphic>
                </wp:inline>
              </w:drawing>
            </w:r>
          </w:p>
        </w:tc>
      </w:tr>
      <w:tr w:rsidR="00FC4C4C" w:rsidRPr="0099700A" w14:paraId="31D445DA" w14:textId="77777777" w:rsidTr="00724B51">
        <w:tc>
          <w:tcPr>
            <w:tcW w:w="1980" w:type="dxa"/>
          </w:tcPr>
          <w:p w14:paraId="3701D103"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Non-disabled</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5BBC3881"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22.3%</w:t>
            </w:r>
          </w:p>
        </w:tc>
        <w:tc>
          <w:tcPr>
            <w:tcW w:w="1049" w:type="dxa"/>
            <w:tcBorders>
              <w:top w:val="single" w:sz="4" w:space="0" w:color="000000"/>
              <w:left w:val="single" w:sz="4" w:space="0" w:color="000000"/>
              <w:bottom w:val="single" w:sz="4" w:space="0" w:color="000000"/>
              <w:right w:val="single" w:sz="12" w:space="0" w:color="000000"/>
            </w:tcBorders>
            <w:shd w:val="clear" w:color="auto" w:fill="auto"/>
          </w:tcPr>
          <w:p w14:paraId="5ED09397"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bCs/>
              </w:rPr>
              <w:t>19.1%</w:t>
            </w:r>
          </w:p>
        </w:tc>
        <w:tc>
          <w:tcPr>
            <w:tcW w:w="1049" w:type="dxa"/>
            <w:tcBorders>
              <w:top w:val="single" w:sz="4" w:space="0" w:color="000000"/>
              <w:left w:val="single" w:sz="12" w:space="0" w:color="000000"/>
              <w:bottom w:val="single" w:sz="4" w:space="0" w:color="000000"/>
              <w:right w:val="single" w:sz="4" w:space="0" w:color="000000"/>
            </w:tcBorders>
            <w:shd w:val="clear" w:color="auto" w:fill="auto"/>
          </w:tcPr>
          <w:p w14:paraId="02BAE2D3"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bCs/>
              </w:rPr>
              <w:t>20.2%</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569C5965"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24.7%</w:t>
            </w:r>
          </w:p>
        </w:tc>
        <w:tc>
          <w:tcPr>
            <w:tcW w:w="1049" w:type="dxa"/>
            <w:tcBorders>
              <w:top w:val="single" w:sz="4" w:space="0" w:color="000000"/>
              <w:left w:val="single" w:sz="12" w:space="0" w:color="000000"/>
              <w:bottom w:val="single" w:sz="4" w:space="0" w:color="000000"/>
              <w:right w:val="single" w:sz="12" w:space="0" w:color="000000"/>
            </w:tcBorders>
            <w:shd w:val="clear" w:color="auto" w:fill="auto"/>
          </w:tcPr>
          <w:p w14:paraId="471E5FFE"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24.8%</w:t>
            </w:r>
          </w:p>
        </w:tc>
        <w:tc>
          <w:tcPr>
            <w:tcW w:w="2126" w:type="dxa"/>
          </w:tcPr>
          <w:p w14:paraId="73557E1E"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1AC846BB" wp14:editId="104E3713">
                  <wp:extent cx="12001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9095" cy="175585"/>
                          </a:xfrm>
                          <a:prstGeom prst="rect">
                            <a:avLst/>
                          </a:prstGeom>
                        </pic:spPr>
                      </pic:pic>
                    </a:graphicData>
                  </a:graphic>
                </wp:inline>
              </w:drawing>
            </w:r>
          </w:p>
        </w:tc>
      </w:tr>
    </w:tbl>
    <w:p w14:paraId="378886E6" w14:textId="77777777" w:rsidR="00FC4C4C" w:rsidRPr="0099700A" w:rsidRDefault="00FC4C4C" w:rsidP="00FC4C4C">
      <w:pPr>
        <w:autoSpaceDE w:val="0"/>
        <w:autoSpaceDN w:val="0"/>
        <w:adjustRightInd w:val="0"/>
        <w:spacing w:after="0" w:line="240" w:lineRule="auto"/>
        <w:rPr>
          <w:rFonts w:ascii="Arial" w:eastAsia="Calibri" w:hAnsi="Arial" w:cs="Arial"/>
          <w:i/>
          <w:iCs/>
          <w:color w:val="000000"/>
        </w:rPr>
      </w:pPr>
    </w:p>
    <w:p w14:paraId="0BAC0312" w14:textId="77777777" w:rsidR="00FC4C4C" w:rsidRPr="0099700A" w:rsidRDefault="00FC4C4C" w:rsidP="00FC4C4C">
      <w:pPr>
        <w:pStyle w:val="ListParagraph"/>
        <w:numPr>
          <w:ilvl w:val="0"/>
          <w:numId w:val="8"/>
        </w:numPr>
        <w:autoSpaceDE w:val="0"/>
        <w:autoSpaceDN w:val="0"/>
        <w:adjustRightInd w:val="0"/>
        <w:rPr>
          <w:rFonts w:ascii="Arial" w:eastAsia="Calibri" w:hAnsi="Arial" w:cs="Arial"/>
          <w:sz w:val="22"/>
          <w:szCs w:val="22"/>
        </w:rPr>
      </w:pPr>
      <w:r w:rsidRPr="0099700A">
        <w:rPr>
          <w:rFonts w:ascii="Arial" w:eastAsia="Calibri" w:hAnsi="Arial" w:cs="Arial"/>
          <w:color w:val="000000"/>
          <w:sz w:val="22"/>
          <w:szCs w:val="22"/>
        </w:rPr>
        <w:t>Positive improvement for disabled staff in 2022, the launch of the Trust Health and Wellbeing passport, clinical psychology support and our mental health first aiders (MHFA).</w:t>
      </w:r>
    </w:p>
    <w:p w14:paraId="60FE7106" w14:textId="77777777" w:rsidR="00FC4C4C" w:rsidRPr="0099700A" w:rsidRDefault="00FC4C4C" w:rsidP="00FC4C4C">
      <w:pPr>
        <w:autoSpaceDE w:val="0"/>
        <w:autoSpaceDN w:val="0"/>
        <w:adjustRightInd w:val="0"/>
        <w:spacing w:after="0" w:line="240" w:lineRule="auto"/>
        <w:rPr>
          <w:rFonts w:ascii="Arial" w:eastAsia="Calibri" w:hAnsi="Arial" w:cs="Arial"/>
          <w:b/>
          <w:bCs/>
        </w:rPr>
      </w:pPr>
    </w:p>
    <w:p w14:paraId="1C42E8D2"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WDES Indicator 7</w:t>
      </w:r>
      <w:r w:rsidRPr="0099700A">
        <w:rPr>
          <w:rFonts w:ascii="Arial" w:eastAsia="Calibri" w:hAnsi="Arial" w:cs="Arial"/>
        </w:rPr>
        <w:t xml:space="preserve"> - Percentage of Disabled staff compared to non-disabled staff saying that they are satisfied with the extent to which their organisation values their work.</w:t>
      </w:r>
    </w:p>
    <w:tbl>
      <w:tblPr>
        <w:tblStyle w:val="TableGrid1"/>
        <w:tblW w:w="9351" w:type="dxa"/>
        <w:tblLook w:val="04A0" w:firstRow="1" w:lastRow="0" w:firstColumn="1" w:lastColumn="0" w:noHBand="0" w:noVBand="1"/>
      </w:tblPr>
      <w:tblGrid>
        <w:gridCol w:w="2036"/>
        <w:gridCol w:w="1035"/>
        <w:gridCol w:w="1036"/>
        <w:gridCol w:w="1036"/>
        <w:gridCol w:w="1036"/>
        <w:gridCol w:w="1036"/>
        <w:gridCol w:w="2136"/>
      </w:tblGrid>
      <w:tr w:rsidR="00FC4C4C" w:rsidRPr="0099700A" w14:paraId="4167F390" w14:textId="77777777" w:rsidTr="00724B51">
        <w:tc>
          <w:tcPr>
            <w:tcW w:w="2036" w:type="dxa"/>
            <w:shd w:val="clear" w:color="auto" w:fill="EEECE1"/>
          </w:tcPr>
          <w:p w14:paraId="4DEA7A82" w14:textId="77777777" w:rsidR="00FC4C4C" w:rsidRPr="0099700A" w:rsidRDefault="00FC4C4C" w:rsidP="00724B51">
            <w:pPr>
              <w:autoSpaceDE w:val="0"/>
              <w:autoSpaceDN w:val="0"/>
              <w:adjustRightInd w:val="0"/>
              <w:rPr>
                <w:rFonts w:ascii="Arial" w:eastAsia="Calibri" w:hAnsi="Arial" w:cs="Arial"/>
              </w:rPr>
            </w:pPr>
          </w:p>
        </w:tc>
        <w:tc>
          <w:tcPr>
            <w:tcW w:w="1035" w:type="dxa"/>
            <w:shd w:val="clear" w:color="auto" w:fill="EEECE1"/>
          </w:tcPr>
          <w:p w14:paraId="376AAC3D"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1036" w:type="dxa"/>
            <w:shd w:val="clear" w:color="auto" w:fill="EEECE1"/>
          </w:tcPr>
          <w:p w14:paraId="125E5FED"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1036" w:type="dxa"/>
            <w:shd w:val="clear" w:color="auto" w:fill="EEECE1"/>
          </w:tcPr>
          <w:p w14:paraId="4992D0AD"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036" w:type="dxa"/>
            <w:shd w:val="clear" w:color="auto" w:fill="EEECE1"/>
          </w:tcPr>
          <w:p w14:paraId="205C64ED"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036" w:type="dxa"/>
            <w:shd w:val="clear" w:color="auto" w:fill="EEECE1"/>
          </w:tcPr>
          <w:p w14:paraId="1398970A"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2136" w:type="dxa"/>
            <w:shd w:val="clear" w:color="auto" w:fill="EEECE1"/>
          </w:tcPr>
          <w:p w14:paraId="5FE72449"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b/>
                <w:bCs/>
              </w:rPr>
              <w:t>Trend</w:t>
            </w:r>
          </w:p>
        </w:tc>
      </w:tr>
      <w:tr w:rsidR="00FC4C4C" w:rsidRPr="0099700A" w14:paraId="1E966CA5" w14:textId="77777777" w:rsidTr="00724B51">
        <w:trPr>
          <w:trHeight w:val="321"/>
        </w:trPr>
        <w:tc>
          <w:tcPr>
            <w:tcW w:w="2036" w:type="dxa"/>
          </w:tcPr>
          <w:p w14:paraId="4BF7BC7E"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 xml:space="preserve">Disabled </w:t>
            </w:r>
          </w:p>
        </w:tc>
        <w:tc>
          <w:tcPr>
            <w:tcW w:w="1035" w:type="dxa"/>
            <w:tcBorders>
              <w:top w:val="single" w:sz="4" w:space="0" w:color="000000"/>
              <w:left w:val="single" w:sz="12" w:space="0" w:color="000000"/>
              <w:bottom w:val="single" w:sz="4" w:space="0" w:color="000000"/>
              <w:right w:val="single" w:sz="12" w:space="0" w:color="000000"/>
            </w:tcBorders>
            <w:shd w:val="clear" w:color="auto" w:fill="auto"/>
          </w:tcPr>
          <w:p w14:paraId="7A071E2A"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21.0%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Pr>
          <w:p w14:paraId="7E1D1CC7"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28.1%</w:t>
            </w:r>
          </w:p>
        </w:tc>
        <w:tc>
          <w:tcPr>
            <w:tcW w:w="1036" w:type="dxa"/>
            <w:tcBorders>
              <w:top w:val="single" w:sz="4" w:space="0" w:color="000000"/>
              <w:left w:val="single" w:sz="12" w:space="0" w:color="000000"/>
              <w:bottom w:val="single" w:sz="4" w:space="0" w:color="000000"/>
              <w:right w:val="single" w:sz="4" w:space="0" w:color="000000"/>
            </w:tcBorders>
            <w:shd w:val="clear" w:color="auto" w:fill="auto"/>
          </w:tcPr>
          <w:p w14:paraId="3DE5F14F"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28.4%</w:t>
            </w:r>
          </w:p>
        </w:tc>
        <w:tc>
          <w:tcPr>
            <w:tcW w:w="1036" w:type="dxa"/>
            <w:tcBorders>
              <w:top w:val="single" w:sz="4" w:space="0" w:color="000000"/>
              <w:left w:val="single" w:sz="12" w:space="0" w:color="000000"/>
              <w:bottom w:val="single" w:sz="4" w:space="0" w:color="000000"/>
              <w:right w:val="single" w:sz="12" w:space="0" w:color="000000"/>
            </w:tcBorders>
            <w:shd w:val="clear" w:color="auto" w:fill="auto"/>
          </w:tcPr>
          <w:p w14:paraId="396736A5"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24.7%</w:t>
            </w:r>
          </w:p>
        </w:tc>
        <w:tc>
          <w:tcPr>
            <w:tcW w:w="1036" w:type="dxa"/>
            <w:tcBorders>
              <w:top w:val="single" w:sz="4" w:space="0" w:color="000000"/>
              <w:left w:val="single" w:sz="12" w:space="0" w:color="000000"/>
              <w:bottom w:val="single" w:sz="4" w:space="0" w:color="000000"/>
              <w:right w:val="single" w:sz="12" w:space="0" w:color="000000"/>
            </w:tcBorders>
            <w:shd w:val="clear" w:color="auto" w:fill="auto"/>
          </w:tcPr>
          <w:p w14:paraId="47A834B4" w14:textId="77777777" w:rsidR="00FC4C4C" w:rsidRPr="0099700A" w:rsidRDefault="00FC4C4C" w:rsidP="00724B51">
            <w:pPr>
              <w:autoSpaceDE w:val="0"/>
              <w:autoSpaceDN w:val="0"/>
              <w:adjustRightInd w:val="0"/>
              <w:spacing w:line="360" w:lineRule="auto"/>
              <w:jc w:val="center"/>
              <w:rPr>
                <w:rFonts w:ascii="Arial" w:eastAsia="Calibri" w:hAnsi="Arial" w:cs="Arial"/>
                <w:b/>
                <w:bCs/>
              </w:rPr>
            </w:pPr>
            <w:r w:rsidRPr="0099700A">
              <w:rPr>
                <w:rFonts w:ascii="Arial" w:eastAsia="Calibri" w:hAnsi="Arial" w:cs="Arial"/>
                <w:b/>
                <w:bCs/>
                <w:color w:val="9BBB59"/>
              </w:rPr>
              <w:t>25.3%</w:t>
            </w:r>
          </w:p>
        </w:tc>
        <w:tc>
          <w:tcPr>
            <w:tcW w:w="2136" w:type="dxa"/>
          </w:tcPr>
          <w:p w14:paraId="1AFAB249"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23A37DCA" wp14:editId="521D7677">
                  <wp:extent cx="1190625" cy="1948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41587" cy="203210"/>
                          </a:xfrm>
                          <a:prstGeom prst="rect">
                            <a:avLst/>
                          </a:prstGeom>
                        </pic:spPr>
                      </pic:pic>
                    </a:graphicData>
                  </a:graphic>
                </wp:inline>
              </w:drawing>
            </w:r>
          </w:p>
        </w:tc>
      </w:tr>
      <w:tr w:rsidR="00FC4C4C" w:rsidRPr="0099700A" w14:paraId="6778DCD9" w14:textId="77777777" w:rsidTr="00724B51">
        <w:trPr>
          <w:trHeight w:val="311"/>
        </w:trPr>
        <w:tc>
          <w:tcPr>
            <w:tcW w:w="2036" w:type="dxa"/>
          </w:tcPr>
          <w:p w14:paraId="0BD2AC6B"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Non-disabled</w:t>
            </w:r>
          </w:p>
        </w:tc>
        <w:tc>
          <w:tcPr>
            <w:tcW w:w="1035" w:type="dxa"/>
            <w:tcBorders>
              <w:top w:val="single" w:sz="4" w:space="0" w:color="000000"/>
              <w:left w:val="single" w:sz="12" w:space="0" w:color="000000"/>
              <w:bottom w:val="single" w:sz="4" w:space="0" w:color="000000"/>
              <w:right w:val="single" w:sz="12" w:space="0" w:color="000000"/>
            </w:tcBorders>
            <w:shd w:val="clear" w:color="auto" w:fill="auto"/>
          </w:tcPr>
          <w:p w14:paraId="2C2D3A5F"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36.3%</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Pr>
          <w:p w14:paraId="5E251C83"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bCs/>
              </w:rPr>
              <w:t>41.1%</w:t>
            </w:r>
          </w:p>
        </w:tc>
        <w:tc>
          <w:tcPr>
            <w:tcW w:w="1036" w:type="dxa"/>
            <w:tcBorders>
              <w:top w:val="single" w:sz="4" w:space="0" w:color="000000"/>
              <w:left w:val="single" w:sz="12" w:space="0" w:color="000000"/>
              <w:bottom w:val="single" w:sz="4" w:space="0" w:color="000000"/>
              <w:right w:val="single" w:sz="4" w:space="0" w:color="000000"/>
            </w:tcBorders>
            <w:shd w:val="clear" w:color="auto" w:fill="auto"/>
          </w:tcPr>
          <w:p w14:paraId="50C3AACD"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bCs/>
              </w:rPr>
              <w:t>46.5%</w:t>
            </w:r>
          </w:p>
        </w:tc>
        <w:tc>
          <w:tcPr>
            <w:tcW w:w="1036" w:type="dxa"/>
            <w:tcBorders>
              <w:top w:val="single" w:sz="4" w:space="0" w:color="000000"/>
              <w:left w:val="single" w:sz="12" w:space="0" w:color="000000"/>
              <w:bottom w:val="single" w:sz="4" w:space="0" w:color="000000"/>
              <w:right w:val="single" w:sz="12" w:space="0" w:color="000000"/>
            </w:tcBorders>
            <w:shd w:val="clear" w:color="auto" w:fill="auto"/>
          </w:tcPr>
          <w:p w14:paraId="7D7C52CF"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35.5%</w:t>
            </w:r>
          </w:p>
        </w:tc>
        <w:tc>
          <w:tcPr>
            <w:tcW w:w="1036" w:type="dxa"/>
            <w:tcBorders>
              <w:top w:val="single" w:sz="4" w:space="0" w:color="000000"/>
              <w:left w:val="single" w:sz="12" w:space="0" w:color="000000"/>
              <w:bottom w:val="single" w:sz="4" w:space="0" w:color="000000"/>
              <w:right w:val="single" w:sz="12" w:space="0" w:color="000000"/>
            </w:tcBorders>
            <w:shd w:val="clear" w:color="auto" w:fill="auto"/>
          </w:tcPr>
          <w:p w14:paraId="2581D553"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37.9%</w:t>
            </w:r>
          </w:p>
        </w:tc>
        <w:tc>
          <w:tcPr>
            <w:tcW w:w="2136" w:type="dxa"/>
          </w:tcPr>
          <w:p w14:paraId="00E18A07"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noProof/>
              </w:rPr>
              <w:drawing>
                <wp:inline distT="0" distB="0" distL="0" distR="0" wp14:anchorId="4F568307" wp14:editId="44ED8E8A">
                  <wp:extent cx="1219203"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48618" cy="195096"/>
                          </a:xfrm>
                          <a:prstGeom prst="rect">
                            <a:avLst/>
                          </a:prstGeom>
                        </pic:spPr>
                      </pic:pic>
                    </a:graphicData>
                  </a:graphic>
                </wp:inline>
              </w:drawing>
            </w:r>
          </w:p>
        </w:tc>
      </w:tr>
    </w:tbl>
    <w:p w14:paraId="22BD546A" w14:textId="77777777" w:rsidR="00FC4C4C" w:rsidRPr="0099700A" w:rsidRDefault="00FC4C4C" w:rsidP="00FC4C4C">
      <w:pPr>
        <w:autoSpaceDE w:val="0"/>
        <w:autoSpaceDN w:val="0"/>
        <w:adjustRightInd w:val="0"/>
        <w:spacing w:after="0" w:line="240" w:lineRule="auto"/>
        <w:rPr>
          <w:rFonts w:ascii="Arial" w:eastAsia="Calibri" w:hAnsi="Arial" w:cs="Arial"/>
          <w:color w:val="000000"/>
        </w:rPr>
      </w:pPr>
    </w:p>
    <w:p w14:paraId="545C34CF" w14:textId="13213605" w:rsidR="00FC4C4C" w:rsidRPr="0099700A" w:rsidRDefault="00FC4C4C" w:rsidP="00FC4C4C">
      <w:pPr>
        <w:pStyle w:val="ListParagraph"/>
        <w:numPr>
          <w:ilvl w:val="0"/>
          <w:numId w:val="8"/>
        </w:numPr>
        <w:autoSpaceDE w:val="0"/>
        <w:autoSpaceDN w:val="0"/>
        <w:adjustRightInd w:val="0"/>
        <w:rPr>
          <w:rFonts w:ascii="Arial" w:eastAsia="Calibri" w:hAnsi="Arial" w:cs="Arial"/>
          <w:sz w:val="22"/>
          <w:szCs w:val="22"/>
        </w:rPr>
      </w:pPr>
      <w:r w:rsidRPr="0099700A">
        <w:rPr>
          <w:rFonts w:ascii="Arial" w:eastAsia="Calibri" w:hAnsi="Arial" w:cs="Arial"/>
          <w:sz w:val="22"/>
          <w:szCs w:val="22"/>
        </w:rPr>
        <w:t>In 2022, there was a positive improvement for disabled employees, demonstrating how their work is valued.</w:t>
      </w:r>
      <w:r>
        <w:rPr>
          <w:rFonts w:ascii="Arial" w:eastAsia="Calibri" w:hAnsi="Arial" w:cs="Arial"/>
          <w:sz w:val="22"/>
          <w:szCs w:val="22"/>
        </w:rPr>
        <w:t xml:space="preserve"> However, this remains </w:t>
      </w:r>
      <w:r w:rsidR="0070250F">
        <w:rPr>
          <w:rFonts w:ascii="Arial" w:eastAsia="Calibri" w:hAnsi="Arial" w:cs="Arial"/>
          <w:sz w:val="22"/>
          <w:szCs w:val="22"/>
        </w:rPr>
        <w:t>below</w:t>
      </w:r>
      <w:r>
        <w:rPr>
          <w:rFonts w:ascii="Arial" w:eastAsia="Calibri" w:hAnsi="Arial" w:cs="Arial"/>
          <w:sz w:val="22"/>
          <w:szCs w:val="22"/>
        </w:rPr>
        <w:t xml:space="preserve"> the 2020 levels and much less than for non-disabled staff.</w:t>
      </w:r>
    </w:p>
    <w:p w14:paraId="7062BBEB"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16D01498"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WDES Indicator 8</w:t>
      </w:r>
      <w:r w:rsidRPr="0099700A">
        <w:rPr>
          <w:rFonts w:ascii="Arial" w:eastAsia="Calibri" w:hAnsi="Arial" w:cs="Arial"/>
        </w:rPr>
        <w:t xml:space="preserve"> - Percentage of Disabled staff saying that their employer has made reasonable adjustment(s) to enable them to carry out their work.</w:t>
      </w:r>
    </w:p>
    <w:tbl>
      <w:tblPr>
        <w:tblStyle w:val="TableGrid1"/>
        <w:tblW w:w="9351" w:type="dxa"/>
        <w:tblLook w:val="04A0" w:firstRow="1" w:lastRow="0" w:firstColumn="1" w:lastColumn="0" w:noHBand="0" w:noVBand="1"/>
      </w:tblPr>
      <w:tblGrid>
        <w:gridCol w:w="2093"/>
        <w:gridCol w:w="1026"/>
        <w:gridCol w:w="1026"/>
        <w:gridCol w:w="1027"/>
        <w:gridCol w:w="1026"/>
        <w:gridCol w:w="1027"/>
        <w:gridCol w:w="2126"/>
      </w:tblGrid>
      <w:tr w:rsidR="00FC4C4C" w:rsidRPr="0099700A" w14:paraId="11924C52" w14:textId="77777777" w:rsidTr="00724B51">
        <w:tc>
          <w:tcPr>
            <w:tcW w:w="2093" w:type="dxa"/>
            <w:shd w:val="clear" w:color="auto" w:fill="EEECE1"/>
          </w:tcPr>
          <w:p w14:paraId="47B2C630" w14:textId="77777777" w:rsidR="00FC4C4C" w:rsidRPr="0099700A" w:rsidRDefault="00FC4C4C" w:rsidP="00724B51">
            <w:pPr>
              <w:autoSpaceDE w:val="0"/>
              <w:autoSpaceDN w:val="0"/>
              <w:adjustRightInd w:val="0"/>
              <w:rPr>
                <w:rFonts w:ascii="Arial" w:eastAsia="Calibri" w:hAnsi="Arial" w:cs="Arial"/>
              </w:rPr>
            </w:pPr>
          </w:p>
        </w:tc>
        <w:tc>
          <w:tcPr>
            <w:tcW w:w="1026" w:type="dxa"/>
            <w:shd w:val="clear" w:color="auto" w:fill="EEECE1"/>
          </w:tcPr>
          <w:p w14:paraId="3069F768"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1026" w:type="dxa"/>
            <w:shd w:val="clear" w:color="auto" w:fill="EEECE1"/>
          </w:tcPr>
          <w:p w14:paraId="6C450DB2"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1027" w:type="dxa"/>
            <w:shd w:val="clear" w:color="auto" w:fill="EEECE1"/>
          </w:tcPr>
          <w:p w14:paraId="302B595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026" w:type="dxa"/>
            <w:shd w:val="clear" w:color="auto" w:fill="EEECE1"/>
          </w:tcPr>
          <w:p w14:paraId="0A0FBCEC"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027" w:type="dxa"/>
            <w:shd w:val="clear" w:color="auto" w:fill="EEECE1"/>
          </w:tcPr>
          <w:p w14:paraId="18CF5A71"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2126" w:type="dxa"/>
            <w:shd w:val="clear" w:color="auto" w:fill="EEECE1"/>
          </w:tcPr>
          <w:p w14:paraId="65CD5712"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b/>
                <w:bCs/>
              </w:rPr>
              <w:t>Trend</w:t>
            </w:r>
          </w:p>
        </w:tc>
      </w:tr>
      <w:tr w:rsidR="00FC4C4C" w:rsidRPr="0099700A" w14:paraId="26CEEAD6" w14:textId="77777777" w:rsidTr="00724B51">
        <w:trPr>
          <w:trHeight w:val="375"/>
        </w:trPr>
        <w:tc>
          <w:tcPr>
            <w:tcW w:w="2093" w:type="dxa"/>
          </w:tcPr>
          <w:p w14:paraId="3486A627"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 xml:space="preserve">Disabled </w:t>
            </w:r>
          </w:p>
        </w:tc>
        <w:tc>
          <w:tcPr>
            <w:tcW w:w="1026" w:type="dxa"/>
            <w:tcBorders>
              <w:top w:val="single" w:sz="4" w:space="0" w:color="000000"/>
              <w:left w:val="single" w:sz="12" w:space="0" w:color="000000"/>
              <w:bottom w:val="single" w:sz="4" w:space="0" w:color="000000"/>
              <w:right w:val="single" w:sz="12" w:space="0" w:color="000000"/>
            </w:tcBorders>
            <w:shd w:val="clear" w:color="auto" w:fill="auto"/>
          </w:tcPr>
          <w:p w14:paraId="2CA10122"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70.2%</w:t>
            </w:r>
          </w:p>
        </w:tc>
        <w:tc>
          <w:tcPr>
            <w:tcW w:w="1026" w:type="dxa"/>
            <w:tcBorders>
              <w:top w:val="single" w:sz="4" w:space="0" w:color="000000"/>
              <w:left w:val="single" w:sz="4" w:space="0" w:color="000000"/>
              <w:bottom w:val="single" w:sz="4" w:space="0" w:color="000000"/>
              <w:right w:val="single" w:sz="12" w:space="0" w:color="000000"/>
            </w:tcBorders>
            <w:shd w:val="clear" w:color="auto" w:fill="auto"/>
          </w:tcPr>
          <w:p w14:paraId="37B53C76"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73.8%</w:t>
            </w:r>
          </w:p>
        </w:tc>
        <w:tc>
          <w:tcPr>
            <w:tcW w:w="1027" w:type="dxa"/>
            <w:tcBorders>
              <w:top w:val="single" w:sz="4" w:space="0" w:color="000000"/>
              <w:left w:val="single" w:sz="12" w:space="0" w:color="000000"/>
              <w:bottom w:val="single" w:sz="4" w:space="0" w:color="000000"/>
              <w:right w:val="single" w:sz="4" w:space="0" w:color="000000"/>
            </w:tcBorders>
            <w:shd w:val="clear" w:color="auto" w:fill="auto"/>
          </w:tcPr>
          <w:p w14:paraId="3EDD3CCE"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75.4%</w:t>
            </w:r>
          </w:p>
        </w:tc>
        <w:tc>
          <w:tcPr>
            <w:tcW w:w="1026" w:type="dxa"/>
            <w:tcBorders>
              <w:top w:val="single" w:sz="4" w:space="0" w:color="000000"/>
              <w:left w:val="single" w:sz="12" w:space="0" w:color="000000"/>
              <w:bottom w:val="single" w:sz="4" w:space="0" w:color="000000"/>
              <w:right w:val="single" w:sz="12" w:space="0" w:color="000000"/>
            </w:tcBorders>
            <w:shd w:val="clear" w:color="auto" w:fill="auto"/>
          </w:tcPr>
          <w:p w14:paraId="48727EAE"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66.7%</w:t>
            </w:r>
          </w:p>
        </w:tc>
        <w:tc>
          <w:tcPr>
            <w:tcW w:w="1027" w:type="dxa"/>
            <w:tcBorders>
              <w:top w:val="single" w:sz="4" w:space="0" w:color="000000"/>
              <w:left w:val="single" w:sz="12" w:space="0" w:color="000000"/>
              <w:bottom w:val="single" w:sz="4" w:space="0" w:color="000000"/>
              <w:right w:val="single" w:sz="12" w:space="0" w:color="000000"/>
            </w:tcBorders>
            <w:shd w:val="clear" w:color="auto" w:fill="auto"/>
          </w:tcPr>
          <w:p w14:paraId="6B72BCDD" w14:textId="77777777" w:rsidR="00FC4C4C" w:rsidRPr="0099700A" w:rsidRDefault="00FC4C4C" w:rsidP="00724B51">
            <w:pPr>
              <w:autoSpaceDE w:val="0"/>
              <w:autoSpaceDN w:val="0"/>
              <w:adjustRightInd w:val="0"/>
              <w:spacing w:line="360" w:lineRule="auto"/>
              <w:jc w:val="center"/>
              <w:rPr>
                <w:rFonts w:ascii="Arial" w:eastAsia="Calibri" w:hAnsi="Arial" w:cs="Arial"/>
                <w:b/>
                <w:bCs/>
              </w:rPr>
            </w:pPr>
            <w:r w:rsidRPr="0099700A">
              <w:rPr>
                <w:rFonts w:ascii="Arial" w:eastAsia="Calibri" w:hAnsi="Arial" w:cs="Arial"/>
                <w:b/>
                <w:bCs/>
                <w:color w:val="9BBB59"/>
              </w:rPr>
              <w:t>70.6%</w:t>
            </w:r>
          </w:p>
        </w:tc>
        <w:tc>
          <w:tcPr>
            <w:tcW w:w="2126" w:type="dxa"/>
          </w:tcPr>
          <w:p w14:paraId="2BC45A74" w14:textId="77777777" w:rsidR="00FC4C4C" w:rsidRPr="0099700A" w:rsidRDefault="00FC4C4C" w:rsidP="00724B51">
            <w:pPr>
              <w:autoSpaceDE w:val="0"/>
              <w:autoSpaceDN w:val="0"/>
              <w:adjustRightInd w:val="0"/>
              <w:jc w:val="center"/>
              <w:rPr>
                <w:rFonts w:ascii="Arial" w:eastAsia="Calibri" w:hAnsi="Arial" w:cs="Arial"/>
              </w:rPr>
            </w:pPr>
            <w:r w:rsidRPr="0099700A">
              <w:rPr>
                <w:rFonts w:ascii="Arial" w:eastAsia="Calibri" w:hAnsi="Arial" w:cs="Arial"/>
                <w:noProof/>
              </w:rPr>
              <w:drawing>
                <wp:inline distT="0" distB="0" distL="0" distR="0" wp14:anchorId="68822CA8" wp14:editId="64F811C7">
                  <wp:extent cx="926376" cy="232914"/>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75499" cy="245265"/>
                          </a:xfrm>
                          <a:prstGeom prst="rect">
                            <a:avLst/>
                          </a:prstGeom>
                        </pic:spPr>
                      </pic:pic>
                    </a:graphicData>
                  </a:graphic>
                </wp:inline>
              </w:drawing>
            </w:r>
          </w:p>
        </w:tc>
      </w:tr>
    </w:tbl>
    <w:p w14:paraId="6B13CD49" w14:textId="77777777" w:rsidR="00FC4C4C" w:rsidRPr="0099700A" w:rsidRDefault="00FC4C4C" w:rsidP="00FC4C4C">
      <w:pPr>
        <w:autoSpaceDE w:val="0"/>
        <w:autoSpaceDN w:val="0"/>
        <w:adjustRightInd w:val="0"/>
        <w:spacing w:after="0" w:line="240" w:lineRule="auto"/>
        <w:rPr>
          <w:rFonts w:ascii="Arial" w:eastAsia="Calibri" w:hAnsi="Arial" w:cs="Arial"/>
          <w:color w:val="000000"/>
        </w:rPr>
      </w:pPr>
    </w:p>
    <w:p w14:paraId="71B7568A" w14:textId="77777777" w:rsidR="00FC4C4C" w:rsidRPr="0099700A" w:rsidRDefault="00FC4C4C" w:rsidP="00FC4C4C">
      <w:pPr>
        <w:pStyle w:val="ListParagraph"/>
        <w:numPr>
          <w:ilvl w:val="0"/>
          <w:numId w:val="8"/>
        </w:numPr>
        <w:autoSpaceDE w:val="0"/>
        <w:autoSpaceDN w:val="0"/>
        <w:adjustRightInd w:val="0"/>
        <w:rPr>
          <w:rFonts w:ascii="Arial" w:eastAsia="Calibri" w:hAnsi="Arial" w:cs="Arial"/>
          <w:sz w:val="22"/>
          <w:szCs w:val="22"/>
        </w:rPr>
      </w:pPr>
      <w:r w:rsidRPr="0099700A">
        <w:rPr>
          <w:rFonts w:ascii="Arial" w:eastAsia="Calibri" w:hAnsi="Arial" w:cs="Arial"/>
          <w:sz w:val="22"/>
          <w:szCs w:val="22"/>
        </w:rPr>
        <w:t>A positive improvement for disabled employees in 2022, demonstrating that their employer has made reasonable adjustments to enable them to perform their duties.</w:t>
      </w:r>
    </w:p>
    <w:p w14:paraId="217FD110"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3F842010" w14:textId="77777777" w:rsidR="00FC4C4C" w:rsidRPr="0099700A" w:rsidRDefault="00FC4C4C" w:rsidP="00FC4C4C">
      <w:pPr>
        <w:autoSpaceDE w:val="0"/>
        <w:autoSpaceDN w:val="0"/>
        <w:adjustRightInd w:val="0"/>
        <w:spacing w:after="0" w:line="240" w:lineRule="auto"/>
        <w:rPr>
          <w:rFonts w:ascii="Arial" w:eastAsia="Calibri" w:hAnsi="Arial" w:cs="Arial"/>
        </w:rPr>
      </w:pPr>
      <w:r w:rsidRPr="0099700A">
        <w:rPr>
          <w:rFonts w:ascii="Arial" w:eastAsia="Calibri" w:hAnsi="Arial" w:cs="Arial"/>
          <w:b/>
          <w:bCs/>
        </w:rPr>
        <w:t>WDES Indicator 9</w:t>
      </w:r>
      <w:r w:rsidRPr="0099700A">
        <w:rPr>
          <w:rFonts w:ascii="Arial" w:eastAsia="Calibri" w:hAnsi="Arial" w:cs="Arial"/>
        </w:rPr>
        <w:t xml:space="preserve"> - The staff engagement score for Disabled staff, compared to non-disabled staff.</w:t>
      </w:r>
    </w:p>
    <w:tbl>
      <w:tblPr>
        <w:tblStyle w:val="TableGrid1"/>
        <w:tblW w:w="9351" w:type="dxa"/>
        <w:tblLook w:val="04A0" w:firstRow="1" w:lastRow="0" w:firstColumn="1" w:lastColumn="0" w:noHBand="0" w:noVBand="1"/>
      </w:tblPr>
      <w:tblGrid>
        <w:gridCol w:w="2105"/>
        <w:gridCol w:w="1028"/>
        <w:gridCol w:w="1028"/>
        <w:gridCol w:w="1028"/>
        <w:gridCol w:w="1028"/>
        <w:gridCol w:w="1028"/>
        <w:gridCol w:w="2106"/>
      </w:tblGrid>
      <w:tr w:rsidR="00FC4C4C" w:rsidRPr="0099700A" w14:paraId="27F2D34A" w14:textId="77777777" w:rsidTr="00724B51">
        <w:tc>
          <w:tcPr>
            <w:tcW w:w="2105" w:type="dxa"/>
            <w:shd w:val="clear" w:color="auto" w:fill="EEECE1"/>
          </w:tcPr>
          <w:p w14:paraId="4ACEEA11" w14:textId="77777777" w:rsidR="00FC4C4C" w:rsidRPr="0099700A" w:rsidRDefault="00FC4C4C" w:rsidP="00724B51">
            <w:pPr>
              <w:autoSpaceDE w:val="0"/>
              <w:autoSpaceDN w:val="0"/>
              <w:adjustRightInd w:val="0"/>
              <w:rPr>
                <w:rFonts w:ascii="Arial" w:eastAsia="Calibri" w:hAnsi="Arial" w:cs="Arial"/>
              </w:rPr>
            </w:pPr>
          </w:p>
        </w:tc>
        <w:tc>
          <w:tcPr>
            <w:tcW w:w="1028" w:type="dxa"/>
            <w:shd w:val="clear" w:color="auto" w:fill="EEECE1"/>
          </w:tcPr>
          <w:p w14:paraId="7EF6695C"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2018</w:t>
            </w:r>
          </w:p>
        </w:tc>
        <w:tc>
          <w:tcPr>
            <w:tcW w:w="1028" w:type="dxa"/>
            <w:shd w:val="clear" w:color="auto" w:fill="EEECE1"/>
          </w:tcPr>
          <w:p w14:paraId="4E34F0CC"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2019</w:t>
            </w:r>
          </w:p>
        </w:tc>
        <w:tc>
          <w:tcPr>
            <w:tcW w:w="1028" w:type="dxa"/>
            <w:shd w:val="clear" w:color="auto" w:fill="EEECE1"/>
          </w:tcPr>
          <w:p w14:paraId="60069E0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2020</w:t>
            </w:r>
          </w:p>
        </w:tc>
        <w:tc>
          <w:tcPr>
            <w:tcW w:w="1028" w:type="dxa"/>
            <w:shd w:val="clear" w:color="auto" w:fill="EEECE1"/>
          </w:tcPr>
          <w:p w14:paraId="78EA0753"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2021</w:t>
            </w:r>
          </w:p>
        </w:tc>
        <w:tc>
          <w:tcPr>
            <w:tcW w:w="1028" w:type="dxa"/>
            <w:shd w:val="clear" w:color="auto" w:fill="EEECE1"/>
          </w:tcPr>
          <w:p w14:paraId="4527FA9B"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2022</w:t>
            </w:r>
          </w:p>
        </w:tc>
        <w:tc>
          <w:tcPr>
            <w:tcW w:w="2106" w:type="dxa"/>
            <w:shd w:val="clear" w:color="auto" w:fill="EEECE1"/>
          </w:tcPr>
          <w:p w14:paraId="29C5E51A"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Trend</w:t>
            </w:r>
          </w:p>
        </w:tc>
      </w:tr>
      <w:tr w:rsidR="00FC4C4C" w:rsidRPr="0099700A" w14:paraId="02C98078" w14:textId="77777777" w:rsidTr="00724B51">
        <w:trPr>
          <w:trHeight w:val="461"/>
        </w:trPr>
        <w:tc>
          <w:tcPr>
            <w:tcW w:w="2105" w:type="dxa"/>
            <w:shd w:val="clear" w:color="auto" w:fill="auto"/>
          </w:tcPr>
          <w:p w14:paraId="29A0843E"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Disabled</w:t>
            </w:r>
          </w:p>
        </w:tc>
        <w:tc>
          <w:tcPr>
            <w:tcW w:w="1028" w:type="dxa"/>
            <w:shd w:val="clear" w:color="auto" w:fill="auto"/>
          </w:tcPr>
          <w:p w14:paraId="0DFE0782"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6.1</w:t>
            </w:r>
          </w:p>
        </w:tc>
        <w:tc>
          <w:tcPr>
            <w:tcW w:w="1028" w:type="dxa"/>
            <w:shd w:val="clear" w:color="auto" w:fill="auto"/>
          </w:tcPr>
          <w:p w14:paraId="6572B68E"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6.2</w:t>
            </w:r>
          </w:p>
        </w:tc>
        <w:tc>
          <w:tcPr>
            <w:tcW w:w="1028" w:type="dxa"/>
            <w:shd w:val="clear" w:color="auto" w:fill="auto"/>
          </w:tcPr>
          <w:p w14:paraId="7CD2457E"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6.6</w:t>
            </w:r>
          </w:p>
        </w:tc>
        <w:tc>
          <w:tcPr>
            <w:tcW w:w="1028" w:type="dxa"/>
            <w:shd w:val="clear" w:color="auto" w:fill="auto"/>
          </w:tcPr>
          <w:p w14:paraId="29C0DFCC"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6.2</w:t>
            </w:r>
          </w:p>
        </w:tc>
        <w:tc>
          <w:tcPr>
            <w:tcW w:w="1028" w:type="dxa"/>
            <w:shd w:val="clear" w:color="auto" w:fill="auto"/>
          </w:tcPr>
          <w:p w14:paraId="675653AC" w14:textId="77777777" w:rsidR="00FC4C4C" w:rsidRPr="0099700A" w:rsidRDefault="00FC4C4C" w:rsidP="00724B51">
            <w:pPr>
              <w:autoSpaceDE w:val="0"/>
              <w:autoSpaceDN w:val="0"/>
              <w:adjustRightInd w:val="0"/>
              <w:spacing w:line="360" w:lineRule="auto"/>
              <w:jc w:val="center"/>
              <w:rPr>
                <w:rFonts w:ascii="Arial" w:eastAsia="Calibri" w:hAnsi="Arial" w:cs="Arial"/>
                <w:b/>
                <w:bCs/>
              </w:rPr>
            </w:pPr>
            <w:r w:rsidRPr="0099700A">
              <w:rPr>
                <w:rFonts w:ascii="Arial" w:eastAsia="Calibri" w:hAnsi="Arial" w:cs="Arial"/>
                <w:b/>
                <w:bCs/>
                <w:color w:val="FF0000"/>
              </w:rPr>
              <w:t>6.1</w:t>
            </w:r>
          </w:p>
        </w:tc>
        <w:tc>
          <w:tcPr>
            <w:tcW w:w="2106" w:type="dxa"/>
            <w:shd w:val="clear" w:color="auto" w:fill="FFFFFF"/>
          </w:tcPr>
          <w:p w14:paraId="75D4E105" w14:textId="77777777" w:rsidR="00FC4C4C" w:rsidRPr="0099700A" w:rsidRDefault="00FC4C4C" w:rsidP="00724B51">
            <w:pPr>
              <w:tabs>
                <w:tab w:val="left" w:pos="210"/>
              </w:tabs>
              <w:autoSpaceDE w:val="0"/>
              <w:autoSpaceDN w:val="0"/>
              <w:adjustRightInd w:val="0"/>
              <w:spacing w:line="360" w:lineRule="auto"/>
              <w:rPr>
                <w:rFonts w:ascii="Arial" w:eastAsia="Calibri" w:hAnsi="Arial" w:cs="Arial"/>
              </w:rPr>
            </w:pPr>
            <w:r w:rsidRPr="0099700A">
              <w:rPr>
                <w:rFonts w:ascii="Arial" w:eastAsia="Calibri" w:hAnsi="Arial" w:cs="Arial"/>
              </w:rPr>
              <w:tab/>
            </w:r>
            <w:r w:rsidRPr="0099700A">
              <w:rPr>
                <w:rFonts w:ascii="Arial" w:eastAsia="Calibri" w:hAnsi="Arial" w:cs="Arial"/>
                <w:noProof/>
              </w:rPr>
              <w:drawing>
                <wp:inline distT="0" distB="0" distL="0" distR="0" wp14:anchorId="1BCEFCF3" wp14:editId="6ECAC134">
                  <wp:extent cx="951230" cy="18115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83524" cy="187305"/>
                          </a:xfrm>
                          <a:prstGeom prst="rect">
                            <a:avLst/>
                          </a:prstGeom>
                        </pic:spPr>
                      </pic:pic>
                    </a:graphicData>
                  </a:graphic>
                </wp:inline>
              </w:drawing>
            </w:r>
          </w:p>
        </w:tc>
      </w:tr>
      <w:tr w:rsidR="00FC4C4C" w:rsidRPr="0099700A" w14:paraId="02176616" w14:textId="77777777" w:rsidTr="00724B51">
        <w:tc>
          <w:tcPr>
            <w:tcW w:w="2105" w:type="dxa"/>
            <w:shd w:val="clear" w:color="auto" w:fill="FFFFFF"/>
          </w:tcPr>
          <w:p w14:paraId="0752349E"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 xml:space="preserve">Non-disabled </w:t>
            </w:r>
          </w:p>
        </w:tc>
        <w:tc>
          <w:tcPr>
            <w:tcW w:w="1028" w:type="dxa"/>
            <w:shd w:val="clear" w:color="auto" w:fill="FFFFFF"/>
          </w:tcPr>
          <w:p w14:paraId="77B94DA4"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6.6</w:t>
            </w:r>
          </w:p>
        </w:tc>
        <w:tc>
          <w:tcPr>
            <w:tcW w:w="1028" w:type="dxa"/>
            <w:shd w:val="clear" w:color="auto" w:fill="FFFFFF"/>
          </w:tcPr>
          <w:p w14:paraId="1AE47EE9"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6.9</w:t>
            </w:r>
          </w:p>
        </w:tc>
        <w:tc>
          <w:tcPr>
            <w:tcW w:w="1028" w:type="dxa"/>
            <w:shd w:val="clear" w:color="auto" w:fill="FFFFFF"/>
          </w:tcPr>
          <w:p w14:paraId="4AE58264"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6.9</w:t>
            </w:r>
          </w:p>
        </w:tc>
        <w:tc>
          <w:tcPr>
            <w:tcW w:w="1028" w:type="dxa"/>
            <w:shd w:val="clear" w:color="auto" w:fill="FFFFFF"/>
          </w:tcPr>
          <w:p w14:paraId="61C816AF"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6.7</w:t>
            </w:r>
          </w:p>
        </w:tc>
        <w:tc>
          <w:tcPr>
            <w:tcW w:w="1028" w:type="dxa"/>
            <w:shd w:val="clear" w:color="auto" w:fill="FFFFFF"/>
          </w:tcPr>
          <w:p w14:paraId="541B280A"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rPr>
              <w:t>6.6</w:t>
            </w:r>
          </w:p>
        </w:tc>
        <w:tc>
          <w:tcPr>
            <w:tcW w:w="2106" w:type="dxa"/>
            <w:shd w:val="clear" w:color="auto" w:fill="FFFFFF"/>
          </w:tcPr>
          <w:p w14:paraId="30DBFA20" w14:textId="77777777" w:rsidR="00FC4C4C" w:rsidRPr="0099700A" w:rsidRDefault="00FC4C4C" w:rsidP="00724B51">
            <w:pPr>
              <w:autoSpaceDE w:val="0"/>
              <w:autoSpaceDN w:val="0"/>
              <w:adjustRightInd w:val="0"/>
              <w:spacing w:line="360" w:lineRule="auto"/>
              <w:jc w:val="center"/>
              <w:rPr>
                <w:rFonts w:ascii="Arial" w:eastAsia="Calibri" w:hAnsi="Arial" w:cs="Arial"/>
              </w:rPr>
            </w:pPr>
            <w:r w:rsidRPr="0099700A">
              <w:rPr>
                <w:rFonts w:ascii="Arial" w:eastAsia="Calibri" w:hAnsi="Arial" w:cs="Arial"/>
                <w:noProof/>
              </w:rPr>
              <w:drawing>
                <wp:inline distT="0" distB="0" distL="0" distR="0" wp14:anchorId="7362DA4E" wp14:editId="325DCA43">
                  <wp:extent cx="943468" cy="215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63800" cy="220308"/>
                          </a:xfrm>
                          <a:prstGeom prst="rect">
                            <a:avLst/>
                          </a:prstGeom>
                        </pic:spPr>
                      </pic:pic>
                    </a:graphicData>
                  </a:graphic>
                </wp:inline>
              </w:drawing>
            </w:r>
          </w:p>
        </w:tc>
      </w:tr>
    </w:tbl>
    <w:p w14:paraId="56B3FFE8" w14:textId="77777777" w:rsidR="00FC4C4C" w:rsidRPr="0099700A" w:rsidRDefault="00FC4C4C" w:rsidP="00FC4C4C">
      <w:pPr>
        <w:autoSpaceDE w:val="0"/>
        <w:autoSpaceDN w:val="0"/>
        <w:adjustRightInd w:val="0"/>
        <w:spacing w:after="0" w:line="240" w:lineRule="auto"/>
        <w:rPr>
          <w:rFonts w:ascii="Arial" w:eastAsia="Calibri" w:hAnsi="Arial" w:cs="Arial"/>
          <w:i/>
          <w:iCs/>
        </w:rPr>
      </w:pPr>
    </w:p>
    <w:p w14:paraId="526D3DAD" w14:textId="77777777" w:rsidR="00FC4C4C" w:rsidRPr="0099700A" w:rsidRDefault="00FC4C4C" w:rsidP="00FC4C4C">
      <w:pPr>
        <w:pStyle w:val="ListParagraph"/>
        <w:numPr>
          <w:ilvl w:val="0"/>
          <w:numId w:val="8"/>
        </w:numPr>
        <w:autoSpaceDE w:val="0"/>
        <w:autoSpaceDN w:val="0"/>
        <w:adjustRightInd w:val="0"/>
        <w:rPr>
          <w:rFonts w:ascii="Arial" w:eastAsia="Calibri" w:hAnsi="Arial" w:cs="Arial"/>
          <w:sz w:val="22"/>
          <w:szCs w:val="22"/>
        </w:rPr>
      </w:pPr>
      <w:r w:rsidRPr="0099700A">
        <w:rPr>
          <w:rFonts w:ascii="Arial" w:eastAsia="Calibri" w:hAnsi="Arial" w:cs="Arial"/>
          <w:sz w:val="22"/>
          <w:szCs w:val="22"/>
        </w:rPr>
        <w:t>A slight decline for disabled staff in 2022, remains the same as data taken from 2018.</w:t>
      </w:r>
    </w:p>
    <w:p w14:paraId="43E3F0E3" w14:textId="77777777" w:rsidR="00FC4C4C" w:rsidRPr="0099700A" w:rsidRDefault="00FC4C4C" w:rsidP="00FC4C4C">
      <w:pPr>
        <w:autoSpaceDE w:val="0"/>
        <w:autoSpaceDN w:val="0"/>
        <w:adjustRightInd w:val="0"/>
        <w:spacing w:after="0" w:line="240" w:lineRule="auto"/>
        <w:rPr>
          <w:rFonts w:ascii="Arial" w:eastAsia="Calibri" w:hAnsi="Arial" w:cs="Arial"/>
        </w:rPr>
      </w:pPr>
    </w:p>
    <w:p w14:paraId="1A9D028B" w14:textId="77777777" w:rsidR="00FC4C4C" w:rsidRPr="0099700A" w:rsidRDefault="00FC4C4C" w:rsidP="00FC4C4C">
      <w:pPr>
        <w:autoSpaceDE w:val="0"/>
        <w:autoSpaceDN w:val="0"/>
        <w:adjustRightInd w:val="0"/>
        <w:spacing w:after="0" w:line="240" w:lineRule="auto"/>
        <w:rPr>
          <w:rFonts w:ascii="Arial" w:eastAsia="Times New Roman" w:hAnsi="Arial" w:cs="Arial"/>
          <w:color w:val="202A30"/>
          <w:lang w:eastAsia="en-GB"/>
        </w:rPr>
      </w:pPr>
      <w:r w:rsidRPr="0099700A">
        <w:rPr>
          <w:rFonts w:ascii="Arial" w:eastAsia="Calibri" w:hAnsi="Arial" w:cs="Arial"/>
          <w:b/>
          <w:bCs/>
        </w:rPr>
        <w:t xml:space="preserve">WDES Indicator 10 </w:t>
      </w:r>
      <w:r w:rsidRPr="0099700A">
        <w:rPr>
          <w:rFonts w:ascii="Arial" w:eastAsia="Calibri" w:hAnsi="Arial" w:cs="Arial"/>
        </w:rPr>
        <w:t xml:space="preserve">- </w:t>
      </w:r>
      <w:r w:rsidRPr="0099700A">
        <w:rPr>
          <w:rFonts w:ascii="Arial" w:eastAsia="Times New Roman" w:hAnsi="Arial" w:cs="Arial"/>
          <w:color w:val="202A30"/>
          <w:lang w:eastAsia="en-GB"/>
        </w:rPr>
        <w:t>Percentage difference between the organisation’s board voting membership and its organisation’s overall workforce, disaggregated:</w:t>
      </w:r>
    </w:p>
    <w:p w14:paraId="14774C51" w14:textId="77777777" w:rsidR="00FC4C4C" w:rsidRPr="0099700A" w:rsidRDefault="00FC4C4C" w:rsidP="00FC4C4C">
      <w:pPr>
        <w:numPr>
          <w:ilvl w:val="0"/>
          <w:numId w:val="7"/>
        </w:numPr>
        <w:shd w:val="clear" w:color="auto" w:fill="FFFFFF"/>
        <w:spacing w:after="0" w:line="240" w:lineRule="auto"/>
        <w:ind w:left="1005"/>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by voting and non-voting membership of the board</w:t>
      </w:r>
    </w:p>
    <w:p w14:paraId="3FB76D48" w14:textId="77777777" w:rsidR="00FC4C4C" w:rsidRPr="0099700A" w:rsidRDefault="00FC4C4C" w:rsidP="00FC4C4C">
      <w:pPr>
        <w:numPr>
          <w:ilvl w:val="0"/>
          <w:numId w:val="7"/>
        </w:numPr>
        <w:shd w:val="clear" w:color="auto" w:fill="FFFFFF"/>
        <w:spacing w:after="0" w:line="240" w:lineRule="auto"/>
        <w:ind w:left="1005"/>
        <w:textAlignment w:val="baseline"/>
        <w:rPr>
          <w:rFonts w:ascii="Arial" w:eastAsia="Times New Roman" w:hAnsi="Arial" w:cs="Arial"/>
          <w:color w:val="202A30"/>
          <w:lang w:eastAsia="en-GB"/>
        </w:rPr>
      </w:pPr>
      <w:r w:rsidRPr="0099700A">
        <w:rPr>
          <w:rFonts w:ascii="Arial" w:eastAsia="Times New Roman" w:hAnsi="Arial" w:cs="Arial"/>
          <w:color w:val="202A30"/>
          <w:lang w:eastAsia="en-GB"/>
        </w:rPr>
        <w:t>by executive and non-exec membership of the board.</w:t>
      </w:r>
    </w:p>
    <w:p w14:paraId="7AE84349" w14:textId="77777777" w:rsidR="00FC4C4C" w:rsidRPr="0099700A" w:rsidRDefault="00FC4C4C" w:rsidP="00FC4C4C">
      <w:pPr>
        <w:autoSpaceDE w:val="0"/>
        <w:autoSpaceDN w:val="0"/>
        <w:adjustRightInd w:val="0"/>
        <w:spacing w:after="0" w:line="240" w:lineRule="auto"/>
        <w:rPr>
          <w:rFonts w:ascii="Arial" w:eastAsia="Calibri" w:hAnsi="Arial" w:cs="Arial"/>
        </w:rPr>
      </w:pPr>
    </w:p>
    <w:tbl>
      <w:tblPr>
        <w:tblStyle w:val="TableGrid1"/>
        <w:tblW w:w="9209" w:type="dxa"/>
        <w:tblLook w:val="04A0" w:firstRow="1" w:lastRow="0" w:firstColumn="1" w:lastColumn="0" w:noHBand="0" w:noVBand="1"/>
      </w:tblPr>
      <w:tblGrid>
        <w:gridCol w:w="3114"/>
        <w:gridCol w:w="2977"/>
        <w:gridCol w:w="3118"/>
      </w:tblGrid>
      <w:tr w:rsidR="00FC4C4C" w:rsidRPr="0099700A" w14:paraId="7B9AB55A" w14:textId="77777777" w:rsidTr="00724B51">
        <w:tc>
          <w:tcPr>
            <w:tcW w:w="3114" w:type="dxa"/>
            <w:shd w:val="clear" w:color="auto" w:fill="EEECE1"/>
          </w:tcPr>
          <w:p w14:paraId="3B6A4972" w14:textId="77777777" w:rsidR="00FC4C4C" w:rsidRPr="0099700A" w:rsidRDefault="00FC4C4C" w:rsidP="00724B51">
            <w:pPr>
              <w:autoSpaceDE w:val="0"/>
              <w:autoSpaceDN w:val="0"/>
              <w:adjustRightInd w:val="0"/>
              <w:rPr>
                <w:rFonts w:ascii="Arial" w:eastAsia="Calibri" w:hAnsi="Arial" w:cs="Arial"/>
                <w:b/>
                <w:bCs/>
              </w:rPr>
            </w:pPr>
          </w:p>
        </w:tc>
        <w:tc>
          <w:tcPr>
            <w:tcW w:w="6095" w:type="dxa"/>
            <w:gridSpan w:val="2"/>
            <w:shd w:val="clear" w:color="auto" w:fill="EEECE1"/>
          </w:tcPr>
          <w:p w14:paraId="7790730D" w14:textId="77777777" w:rsidR="00FC4C4C" w:rsidRPr="0099700A" w:rsidRDefault="00FC4C4C" w:rsidP="00724B51">
            <w:pPr>
              <w:autoSpaceDE w:val="0"/>
              <w:autoSpaceDN w:val="0"/>
              <w:adjustRightInd w:val="0"/>
              <w:jc w:val="center"/>
              <w:rPr>
                <w:rFonts w:ascii="Arial" w:eastAsia="Calibri" w:hAnsi="Arial" w:cs="Arial"/>
                <w:b/>
                <w:bCs/>
              </w:rPr>
            </w:pPr>
            <w:r w:rsidRPr="0099700A">
              <w:rPr>
                <w:rFonts w:ascii="Arial" w:eastAsia="Calibri" w:hAnsi="Arial" w:cs="Arial"/>
                <w:b/>
                <w:bCs/>
              </w:rPr>
              <w:t>2023</w:t>
            </w:r>
          </w:p>
        </w:tc>
      </w:tr>
      <w:tr w:rsidR="00FC4C4C" w:rsidRPr="0099700A" w14:paraId="17230CD9" w14:textId="77777777" w:rsidTr="00724B51">
        <w:tc>
          <w:tcPr>
            <w:tcW w:w="3114" w:type="dxa"/>
            <w:vMerge w:val="restart"/>
          </w:tcPr>
          <w:p w14:paraId="792C32CE"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b/>
                <w:bCs/>
              </w:rPr>
              <w:t>Non-Executive Director and Chair</w:t>
            </w:r>
          </w:p>
        </w:tc>
        <w:tc>
          <w:tcPr>
            <w:tcW w:w="2977" w:type="dxa"/>
          </w:tcPr>
          <w:p w14:paraId="2FA60571"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Disabled</w:t>
            </w:r>
          </w:p>
        </w:tc>
        <w:tc>
          <w:tcPr>
            <w:tcW w:w="3118" w:type="dxa"/>
          </w:tcPr>
          <w:p w14:paraId="0F2B9C97"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0</w:t>
            </w:r>
          </w:p>
        </w:tc>
      </w:tr>
      <w:tr w:rsidR="00FC4C4C" w:rsidRPr="0099700A" w14:paraId="191645B8" w14:textId="77777777" w:rsidTr="00724B51">
        <w:tc>
          <w:tcPr>
            <w:tcW w:w="3114" w:type="dxa"/>
            <w:vMerge/>
          </w:tcPr>
          <w:p w14:paraId="36B098F4" w14:textId="77777777" w:rsidR="00FC4C4C" w:rsidRPr="0099700A" w:rsidRDefault="00FC4C4C" w:rsidP="00724B51">
            <w:pPr>
              <w:autoSpaceDE w:val="0"/>
              <w:autoSpaceDN w:val="0"/>
              <w:adjustRightInd w:val="0"/>
              <w:rPr>
                <w:rFonts w:ascii="Arial" w:eastAsia="Calibri" w:hAnsi="Arial" w:cs="Arial"/>
                <w:b/>
                <w:bCs/>
              </w:rPr>
            </w:pPr>
          </w:p>
        </w:tc>
        <w:tc>
          <w:tcPr>
            <w:tcW w:w="2977" w:type="dxa"/>
          </w:tcPr>
          <w:p w14:paraId="2FE8A45B"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Non-disabled</w:t>
            </w:r>
          </w:p>
        </w:tc>
        <w:tc>
          <w:tcPr>
            <w:tcW w:w="3118" w:type="dxa"/>
          </w:tcPr>
          <w:p w14:paraId="0AF5F720"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5</w:t>
            </w:r>
          </w:p>
        </w:tc>
      </w:tr>
      <w:tr w:rsidR="00FC4C4C" w:rsidRPr="0099700A" w14:paraId="507C9A1E" w14:textId="77777777" w:rsidTr="00724B51">
        <w:tc>
          <w:tcPr>
            <w:tcW w:w="3114" w:type="dxa"/>
            <w:vMerge/>
          </w:tcPr>
          <w:p w14:paraId="067D5513" w14:textId="77777777" w:rsidR="00FC4C4C" w:rsidRPr="0099700A" w:rsidRDefault="00FC4C4C" w:rsidP="00724B51">
            <w:pPr>
              <w:autoSpaceDE w:val="0"/>
              <w:autoSpaceDN w:val="0"/>
              <w:adjustRightInd w:val="0"/>
              <w:rPr>
                <w:rFonts w:ascii="Arial" w:eastAsia="Calibri" w:hAnsi="Arial" w:cs="Arial"/>
                <w:b/>
                <w:bCs/>
              </w:rPr>
            </w:pPr>
          </w:p>
        </w:tc>
        <w:tc>
          <w:tcPr>
            <w:tcW w:w="2977" w:type="dxa"/>
          </w:tcPr>
          <w:p w14:paraId="11357A58"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Not declared</w:t>
            </w:r>
          </w:p>
        </w:tc>
        <w:tc>
          <w:tcPr>
            <w:tcW w:w="3118" w:type="dxa"/>
          </w:tcPr>
          <w:p w14:paraId="4BA33D89"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3</w:t>
            </w:r>
          </w:p>
        </w:tc>
      </w:tr>
      <w:tr w:rsidR="00FC4C4C" w:rsidRPr="0099700A" w14:paraId="0F546171" w14:textId="77777777" w:rsidTr="00724B51">
        <w:tc>
          <w:tcPr>
            <w:tcW w:w="3114" w:type="dxa"/>
            <w:vMerge w:val="restart"/>
          </w:tcPr>
          <w:p w14:paraId="57315992"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b/>
                <w:bCs/>
              </w:rPr>
              <w:t>Board members</w:t>
            </w:r>
          </w:p>
        </w:tc>
        <w:tc>
          <w:tcPr>
            <w:tcW w:w="2977" w:type="dxa"/>
          </w:tcPr>
          <w:p w14:paraId="1B462CBA"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rPr>
              <w:t>Disabled</w:t>
            </w:r>
          </w:p>
        </w:tc>
        <w:tc>
          <w:tcPr>
            <w:tcW w:w="3118" w:type="dxa"/>
          </w:tcPr>
          <w:p w14:paraId="6E2EAA9E"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0</w:t>
            </w:r>
          </w:p>
        </w:tc>
      </w:tr>
      <w:tr w:rsidR="00FC4C4C" w:rsidRPr="0099700A" w14:paraId="6F440116" w14:textId="77777777" w:rsidTr="00724B51">
        <w:tc>
          <w:tcPr>
            <w:tcW w:w="3114" w:type="dxa"/>
            <w:vMerge/>
          </w:tcPr>
          <w:p w14:paraId="332AF136" w14:textId="77777777" w:rsidR="00FC4C4C" w:rsidRPr="0099700A" w:rsidRDefault="00FC4C4C" w:rsidP="00724B51">
            <w:pPr>
              <w:autoSpaceDE w:val="0"/>
              <w:autoSpaceDN w:val="0"/>
              <w:adjustRightInd w:val="0"/>
              <w:rPr>
                <w:rFonts w:ascii="Arial" w:eastAsia="Calibri" w:hAnsi="Arial" w:cs="Arial"/>
                <w:b/>
                <w:bCs/>
              </w:rPr>
            </w:pPr>
          </w:p>
        </w:tc>
        <w:tc>
          <w:tcPr>
            <w:tcW w:w="2977" w:type="dxa"/>
          </w:tcPr>
          <w:p w14:paraId="11747132"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rPr>
              <w:t>Non-disabled</w:t>
            </w:r>
          </w:p>
        </w:tc>
        <w:tc>
          <w:tcPr>
            <w:tcW w:w="3118" w:type="dxa"/>
          </w:tcPr>
          <w:p w14:paraId="3B275711"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7 (4 non-voting)</w:t>
            </w:r>
          </w:p>
        </w:tc>
      </w:tr>
      <w:tr w:rsidR="00FC4C4C" w:rsidRPr="0099700A" w14:paraId="4AA90039" w14:textId="77777777" w:rsidTr="00724B51">
        <w:tc>
          <w:tcPr>
            <w:tcW w:w="3114" w:type="dxa"/>
            <w:vMerge/>
          </w:tcPr>
          <w:p w14:paraId="1EEAA7FF" w14:textId="77777777" w:rsidR="00FC4C4C" w:rsidRPr="0099700A" w:rsidRDefault="00FC4C4C" w:rsidP="00724B51">
            <w:pPr>
              <w:autoSpaceDE w:val="0"/>
              <w:autoSpaceDN w:val="0"/>
              <w:adjustRightInd w:val="0"/>
              <w:rPr>
                <w:rFonts w:ascii="Arial" w:eastAsia="Calibri" w:hAnsi="Arial" w:cs="Arial"/>
                <w:b/>
                <w:bCs/>
              </w:rPr>
            </w:pPr>
          </w:p>
        </w:tc>
        <w:tc>
          <w:tcPr>
            <w:tcW w:w="2977" w:type="dxa"/>
          </w:tcPr>
          <w:p w14:paraId="2B3BB6FB" w14:textId="77777777" w:rsidR="00FC4C4C" w:rsidRPr="0099700A" w:rsidRDefault="00FC4C4C" w:rsidP="00724B51">
            <w:pPr>
              <w:autoSpaceDE w:val="0"/>
              <w:autoSpaceDN w:val="0"/>
              <w:adjustRightInd w:val="0"/>
              <w:rPr>
                <w:rFonts w:ascii="Arial" w:eastAsia="Calibri" w:hAnsi="Arial" w:cs="Arial"/>
                <w:b/>
                <w:bCs/>
              </w:rPr>
            </w:pPr>
            <w:r w:rsidRPr="0099700A">
              <w:rPr>
                <w:rFonts w:ascii="Arial" w:eastAsia="Calibri" w:hAnsi="Arial" w:cs="Arial"/>
              </w:rPr>
              <w:t>Not declared</w:t>
            </w:r>
          </w:p>
        </w:tc>
        <w:tc>
          <w:tcPr>
            <w:tcW w:w="3118" w:type="dxa"/>
          </w:tcPr>
          <w:p w14:paraId="2CE790C1" w14:textId="77777777" w:rsidR="00FC4C4C" w:rsidRPr="0099700A" w:rsidRDefault="00FC4C4C" w:rsidP="00724B51">
            <w:pPr>
              <w:autoSpaceDE w:val="0"/>
              <w:autoSpaceDN w:val="0"/>
              <w:adjustRightInd w:val="0"/>
              <w:rPr>
                <w:rFonts w:ascii="Arial" w:eastAsia="Calibri" w:hAnsi="Arial" w:cs="Arial"/>
              </w:rPr>
            </w:pPr>
            <w:r w:rsidRPr="0099700A">
              <w:rPr>
                <w:rFonts w:ascii="Arial" w:eastAsia="Calibri" w:hAnsi="Arial" w:cs="Arial"/>
              </w:rPr>
              <w:t>2 (2 voting)</w:t>
            </w:r>
          </w:p>
        </w:tc>
      </w:tr>
    </w:tbl>
    <w:p w14:paraId="507A68D1" w14:textId="77777777" w:rsidR="00FC4C4C" w:rsidRPr="0099700A" w:rsidRDefault="00FC4C4C" w:rsidP="00FC4C4C">
      <w:pPr>
        <w:rPr>
          <w:rFonts w:ascii="Arial" w:hAnsi="Arial" w:cs="Arial"/>
        </w:rPr>
      </w:pPr>
    </w:p>
    <w:p w14:paraId="0313F92A" w14:textId="77777777" w:rsidR="00FC4C4C" w:rsidRDefault="00FC4C4C" w:rsidP="00FC4C4C">
      <w:pPr>
        <w:pStyle w:val="ListParagraph"/>
        <w:numPr>
          <w:ilvl w:val="0"/>
          <w:numId w:val="2"/>
        </w:numPr>
        <w:rPr>
          <w:rFonts w:ascii="Arial" w:hAnsi="Arial" w:cs="Arial"/>
          <w:sz w:val="22"/>
          <w:szCs w:val="22"/>
        </w:rPr>
      </w:pPr>
      <w:r w:rsidRPr="0099700A">
        <w:rPr>
          <w:rFonts w:ascii="Arial" w:hAnsi="Arial" w:cs="Arial"/>
          <w:sz w:val="22"/>
          <w:szCs w:val="22"/>
        </w:rPr>
        <w:t>The data for indicator 10 shows the Trust has no disabled representation at board level.</w:t>
      </w:r>
      <w:r>
        <w:rPr>
          <w:rFonts w:ascii="Arial" w:hAnsi="Arial" w:cs="Arial"/>
          <w:sz w:val="22"/>
          <w:szCs w:val="22"/>
        </w:rPr>
        <w:t xml:space="preserve"> All board members will be encouraged to update their personal information </w:t>
      </w:r>
      <w:r>
        <w:rPr>
          <w:rFonts w:ascii="Arial" w:hAnsi="Arial" w:cs="Arial"/>
          <w:sz w:val="22"/>
          <w:szCs w:val="22"/>
        </w:rPr>
        <w:lastRenderedPageBreak/>
        <w:t>regarding their disability status as this is something we are encouraging all staff to do.</w:t>
      </w:r>
    </w:p>
    <w:p w14:paraId="304A6E91" w14:textId="77777777" w:rsidR="00FC4C4C" w:rsidRDefault="00FC4C4C" w:rsidP="00FC4C4C">
      <w:pPr>
        <w:rPr>
          <w:rFonts w:ascii="Arial" w:hAnsi="Arial" w:cs="Arial"/>
        </w:rPr>
      </w:pPr>
    </w:p>
    <w:p w14:paraId="32806DE5" w14:textId="77777777" w:rsidR="00FC4C4C" w:rsidRDefault="00FC4C4C" w:rsidP="00FC4C4C">
      <w:pPr>
        <w:rPr>
          <w:rFonts w:ascii="Arial" w:hAnsi="Arial" w:cs="Arial"/>
          <w:b/>
          <w:bCs/>
        </w:rPr>
      </w:pPr>
      <w:r w:rsidRPr="0062353C">
        <w:rPr>
          <w:rFonts w:ascii="Arial" w:hAnsi="Arial" w:cs="Arial"/>
          <w:b/>
          <w:bCs/>
        </w:rPr>
        <w:t>Action Plan</w:t>
      </w:r>
    </w:p>
    <w:p w14:paraId="0404C409" w14:textId="77777777" w:rsidR="00FC4C4C" w:rsidRDefault="00FC4C4C" w:rsidP="00FC4C4C">
      <w:pPr>
        <w:rPr>
          <w:rFonts w:ascii="Arial" w:hAnsi="Arial" w:cs="Arial"/>
        </w:rPr>
      </w:pPr>
      <w:r>
        <w:rPr>
          <w:rFonts w:ascii="Arial" w:hAnsi="Arial" w:cs="Arial"/>
        </w:rPr>
        <w:t>The WDES action plan for 2023/24 (appendix 10) highlights the objective, supporting data, actions currently in place and future actions. It also provides a RAG rating for the actions relating to each metric.</w:t>
      </w:r>
    </w:p>
    <w:p w14:paraId="45E13894" w14:textId="77777777" w:rsidR="00FC4C4C" w:rsidRDefault="00FC4C4C" w:rsidP="00FC4C4C">
      <w:pPr>
        <w:rPr>
          <w:rFonts w:ascii="Arial" w:hAnsi="Arial" w:cs="Arial"/>
        </w:rPr>
      </w:pPr>
      <w:r>
        <w:rPr>
          <w:rFonts w:ascii="Arial" w:hAnsi="Arial" w:cs="Arial"/>
        </w:rPr>
        <w:t>The WDES data has not seen significant improvement, indeed some metrics have declined since data began to be recorded. While data quality has improved the experience of staff has not. Some of the key actions in 2023/24 from the action plan are:</w:t>
      </w:r>
    </w:p>
    <w:p w14:paraId="6C445F27" w14:textId="77777777" w:rsidR="00FC4C4C" w:rsidRDefault="00FC4C4C" w:rsidP="00FC4C4C">
      <w:pPr>
        <w:pStyle w:val="ListParagraph"/>
        <w:numPr>
          <w:ilvl w:val="0"/>
          <w:numId w:val="2"/>
        </w:numPr>
        <w:rPr>
          <w:rFonts w:ascii="Arial" w:hAnsi="Arial" w:cs="Arial"/>
          <w:sz w:val="22"/>
          <w:szCs w:val="22"/>
        </w:rPr>
      </w:pPr>
      <w:r w:rsidRPr="0062353C">
        <w:rPr>
          <w:rFonts w:ascii="Arial" w:hAnsi="Arial" w:cs="Arial"/>
          <w:sz w:val="22"/>
          <w:szCs w:val="22"/>
        </w:rPr>
        <w:t>Reviewing</w:t>
      </w:r>
      <w:r>
        <w:rPr>
          <w:rFonts w:ascii="Arial" w:hAnsi="Arial" w:cs="Arial"/>
          <w:sz w:val="22"/>
          <w:szCs w:val="22"/>
        </w:rPr>
        <w:t xml:space="preserve"> policies, particularly relating to recruitment, capability processes and the raising of concerns to ensure they are inclusive</w:t>
      </w:r>
    </w:p>
    <w:p w14:paraId="16034FC2" w14:textId="77777777" w:rsidR="00FC4C4C" w:rsidRDefault="00FC4C4C" w:rsidP="00FC4C4C">
      <w:pPr>
        <w:pStyle w:val="ListParagraph"/>
        <w:numPr>
          <w:ilvl w:val="0"/>
          <w:numId w:val="2"/>
        </w:numPr>
        <w:rPr>
          <w:rFonts w:ascii="Arial" w:hAnsi="Arial" w:cs="Arial"/>
          <w:sz w:val="22"/>
          <w:szCs w:val="22"/>
        </w:rPr>
      </w:pPr>
      <w:r>
        <w:rPr>
          <w:rFonts w:ascii="Arial" w:hAnsi="Arial" w:cs="Arial"/>
          <w:sz w:val="22"/>
          <w:szCs w:val="22"/>
        </w:rPr>
        <w:t>HRBPs engaging with managers to support them in providing reasonable adjustments for staff</w:t>
      </w:r>
    </w:p>
    <w:p w14:paraId="1817913B" w14:textId="77777777" w:rsidR="00FC4C4C" w:rsidRDefault="00FC4C4C" w:rsidP="00FC4C4C">
      <w:pPr>
        <w:pStyle w:val="ListParagraph"/>
        <w:numPr>
          <w:ilvl w:val="0"/>
          <w:numId w:val="2"/>
        </w:numPr>
        <w:rPr>
          <w:rFonts w:ascii="Arial" w:hAnsi="Arial" w:cs="Arial"/>
          <w:sz w:val="22"/>
          <w:szCs w:val="22"/>
        </w:rPr>
      </w:pPr>
      <w:r>
        <w:rPr>
          <w:rFonts w:ascii="Arial" w:hAnsi="Arial" w:cs="Arial"/>
          <w:sz w:val="22"/>
          <w:szCs w:val="22"/>
        </w:rPr>
        <w:t>FTSUG team providing another outlet for concerns and queries.</w:t>
      </w:r>
    </w:p>
    <w:p w14:paraId="5B2B5069" w14:textId="77777777" w:rsidR="00FC4C4C" w:rsidRDefault="00FC4C4C" w:rsidP="00FC4C4C">
      <w:pPr>
        <w:pStyle w:val="ListParagraph"/>
        <w:numPr>
          <w:ilvl w:val="0"/>
          <w:numId w:val="2"/>
        </w:numPr>
        <w:rPr>
          <w:rFonts w:ascii="Arial" w:hAnsi="Arial" w:cs="Arial"/>
          <w:sz w:val="22"/>
          <w:szCs w:val="22"/>
        </w:rPr>
      </w:pPr>
      <w:r>
        <w:rPr>
          <w:rFonts w:ascii="Arial" w:hAnsi="Arial" w:cs="Arial"/>
          <w:sz w:val="22"/>
          <w:szCs w:val="22"/>
        </w:rPr>
        <w:t>Raising awareness of the positive contribution of staff with disabilities through the staff network.</w:t>
      </w:r>
    </w:p>
    <w:p w14:paraId="27B8AD07" w14:textId="77777777" w:rsidR="00FC4C4C" w:rsidRDefault="00FC4C4C" w:rsidP="00FC4C4C">
      <w:pPr>
        <w:rPr>
          <w:rFonts w:ascii="Arial" w:hAnsi="Arial" w:cs="Arial"/>
        </w:rPr>
      </w:pPr>
    </w:p>
    <w:p w14:paraId="72D2BA0F" w14:textId="77777777" w:rsidR="00FC4C4C" w:rsidRDefault="00FC4C4C" w:rsidP="00FC4C4C">
      <w:pPr>
        <w:rPr>
          <w:rFonts w:ascii="Arial" w:hAnsi="Arial" w:cs="Arial"/>
          <w:b/>
          <w:bCs/>
        </w:rPr>
      </w:pPr>
      <w:r w:rsidRPr="00650157">
        <w:rPr>
          <w:rFonts w:ascii="Arial" w:hAnsi="Arial" w:cs="Arial"/>
          <w:b/>
          <w:bCs/>
        </w:rPr>
        <w:t xml:space="preserve">Conclusion </w:t>
      </w:r>
    </w:p>
    <w:p w14:paraId="1938CD75" w14:textId="77777777" w:rsidR="00FC4C4C" w:rsidRDefault="00FC4C4C" w:rsidP="00FC4C4C">
      <w:pPr>
        <w:rPr>
          <w:rFonts w:ascii="Arial" w:hAnsi="Arial" w:cs="Arial"/>
        </w:rPr>
      </w:pPr>
      <w:r>
        <w:rPr>
          <w:rFonts w:ascii="Arial" w:hAnsi="Arial" w:cs="Arial"/>
        </w:rPr>
        <w:t>The Trust has seen some improvements, particularly with the WRES metrics from 2021 to 2022. However, it is clear that the experience of staff from diverse ethnic backgrounds or those with disabilities is worse than their white and non-disabled colleagues.</w:t>
      </w:r>
    </w:p>
    <w:p w14:paraId="332ECCA8" w14:textId="77777777" w:rsidR="00FC4C4C" w:rsidRPr="00650157" w:rsidRDefault="00FC4C4C" w:rsidP="00FC4C4C">
      <w:pPr>
        <w:rPr>
          <w:rFonts w:ascii="Arial" w:hAnsi="Arial" w:cs="Arial"/>
        </w:rPr>
      </w:pPr>
      <w:r>
        <w:rPr>
          <w:rFonts w:ascii="Arial" w:hAnsi="Arial" w:cs="Arial"/>
        </w:rPr>
        <w:t xml:space="preserve">The 2022/23 data and 2023/24 action plan highlight the continued need to change our processes, </w:t>
      </w:r>
      <w:proofErr w:type="gramStart"/>
      <w:r>
        <w:rPr>
          <w:rFonts w:ascii="Arial" w:hAnsi="Arial" w:cs="Arial"/>
        </w:rPr>
        <w:t>approach</w:t>
      </w:r>
      <w:proofErr w:type="gramEnd"/>
      <w:r>
        <w:rPr>
          <w:rFonts w:ascii="Arial" w:hAnsi="Arial" w:cs="Arial"/>
        </w:rPr>
        <w:t xml:space="preserve"> and culture to ensure that all staff who work at the QEH are treated in accordance with our values of wellness, fairness and kindness.</w:t>
      </w:r>
    </w:p>
    <w:p w14:paraId="3546120C" w14:textId="77777777" w:rsidR="00FC4C4C" w:rsidRDefault="00FC4C4C"/>
    <w:sectPr w:rsidR="00FC4C4C" w:rsidSect="001A102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97"/>
    <w:multiLevelType w:val="hybridMultilevel"/>
    <w:tmpl w:val="D522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279F8"/>
    <w:multiLevelType w:val="hybridMultilevel"/>
    <w:tmpl w:val="0664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A2"/>
    <w:multiLevelType w:val="hybridMultilevel"/>
    <w:tmpl w:val="A33C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1552F"/>
    <w:multiLevelType w:val="hybridMultilevel"/>
    <w:tmpl w:val="42506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A3AD0"/>
    <w:multiLevelType w:val="hybridMultilevel"/>
    <w:tmpl w:val="07B8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97E8E"/>
    <w:multiLevelType w:val="multilevel"/>
    <w:tmpl w:val="E7FE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BC2644"/>
    <w:multiLevelType w:val="hybridMultilevel"/>
    <w:tmpl w:val="8A7EAB26"/>
    <w:lvl w:ilvl="0" w:tplc="E4F88E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F1467"/>
    <w:multiLevelType w:val="hybridMultilevel"/>
    <w:tmpl w:val="04AA5120"/>
    <w:lvl w:ilvl="0" w:tplc="E4F88E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71F7B"/>
    <w:multiLevelType w:val="hybridMultilevel"/>
    <w:tmpl w:val="C91E1BCC"/>
    <w:lvl w:ilvl="0" w:tplc="E4F88E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834146">
    <w:abstractNumId w:val="3"/>
  </w:num>
  <w:num w:numId="2" w16cid:durableId="590623413">
    <w:abstractNumId w:val="2"/>
  </w:num>
  <w:num w:numId="3" w16cid:durableId="2007437258">
    <w:abstractNumId w:val="1"/>
  </w:num>
  <w:num w:numId="4" w16cid:durableId="1769959251">
    <w:abstractNumId w:val="4"/>
  </w:num>
  <w:num w:numId="5" w16cid:durableId="192689895">
    <w:abstractNumId w:val="0"/>
  </w:num>
  <w:num w:numId="6" w16cid:durableId="2118209737">
    <w:abstractNumId w:val="8"/>
  </w:num>
  <w:num w:numId="7" w16cid:durableId="510536538">
    <w:abstractNumId w:val="5"/>
  </w:num>
  <w:num w:numId="8" w16cid:durableId="1141457290">
    <w:abstractNumId w:val="7"/>
  </w:num>
  <w:num w:numId="9" w16cid:durableId="140973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4C"/>
    <w:rsid w:val="002A3C43"/>
    <w:rsid w:val="00311705"/>
    <w:rsid w:val="00412621"/>
    <w:rsid w:val="0044388F"/>
    <w:rsid w:val="00466720"/>
    <w:rsid w:val="00471F54"/>
    <w:rsid w:val="006031AC"/>
    <w:rsid w:val="0070250F"/>
    <w:rsid w:val="007C16FC"/>
    <w:rsid w:val="0091468B"/>
    <w:rsid w:val="00A41BCF"/>
    <w:rsid w:val="00A91D90"/>
    <w:rsid w:val="00FB6AAC"/>
    <w:rsid w:val="00FC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A043"/>
  <w15:chartTrackingRefBased/>
  <w15:docId w15:val="{1CDEB622-1983-4397-83E2-238187D7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4C"/>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FC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4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C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96EEABA70AE4DACE81EC525E8B5A3" ma:contentTypeVersion="15" ma:contentTypeDescription="Create a new document." ma:contentTypeScope="" ma:versionID="6db6126da18901d13d4648468da4fd14">
  <xsd:schema xmlns:xsd="http://www.w3.org/2001/XMLSchema" xmlns:xs="http://www.w3.org/2001/XMLSchema" xmlns:p="http://schemas.microsoft.com/office/2006/metadata/properties" xmlns:ns3="0546b59c-3663-400e-ae03-a831fca05b96" xmlns:ns4="564b4b57-b986-4e0b-a5cc-54834f30f592" targetNamespace="http://schemas.microsoft.com/office/2006/metadata/properties" ma:root="true" ma:fieldsID="0c02dee7fd484b59388517dd01239683" ns3:_="" ns4:_="">
    <xsd:import namespace="0546b59c-3663-400e-ae03-a831fca05b96"/>
    <xsd:import namespace="564b4b57-b986-4e0b-a5cc-54834f30f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b59c-3663-400e-ae03-a831fca05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b4b57-b986-4e0b-a5cc-54834f30f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546b59c-3663-400e-ae03-a831fca05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CACCB-D320-4896-BC45-A922AEF8B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b59c-3663-400e-ae03-a831fca05b96"/>
    <ds:schemaRef ds:uri="564b4b57-b986-4e0b-a5cc-54834f30f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24C65-748B-4063-964F-47F30ED0E2E7}">
  <ds:schemaRefs>
    <ds:schemaRef ds:uri="http://www.w3.org/XML/1998/namespace"/>
    <ds:schemaRef ds:uri="http://purl.org/dc/terms/"/>
    <ds:schemaRef ds:uri="564b4b57-b986-4e0b-a5cc-54834f30f592"/>
    <ds:schemaRef ds:uri="http://schemas.microsoft.com/office/2006/documentManagement/types"/>
    <ds:schemaRef ds:uri="0546b59c-3663-400e-ae03-a831fca05b96"/>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A766C63-E647-47AC-9234-883923321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2609</Words>
  <Characters>14873</Characters>
  <Application>Microsoft Office Word</Application>
  <DocSecurity>0</DocSecurity>
  <Lines>123</Lines>
  <Paragraphs>34</Paragraphs>
  <ScaleCrop>false</ScaleCrop>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Chelsea</dc:creator>
  <cp:keywords/>
  <dc:description/>
  <cp:lastModifiedBy>Kirk, Chelsea</cp:lastModifiedBy>
  <cp:revision>13</cp:revision>
  <dcterms:created xsi:type="dcterms:W3CDTF">2023-10-26T14:56:00Z</dcterms:created>
  <dcterms:modified xsi:type="dcterms:W3CDTF">2023-10-31T19:50:00Z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0x0101008BE96EEABA70AE4DACE81EC525E8B5A3</vt:lpwstr>
  </property>
</Properties>
</file>